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CB" w:rsidRPr="001B1382" w:rsidRDefault="00367612" w:rsidP="005118B5">
      <w:pPr>
        <w:spacing w:after="12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proofErr w:type="gramStart"/>
      <w:r w:rsidRPr="001B1382">
        <w:rPr>
          <w:b/>
          <w:sz w:val="24"/>
          <w:szCs w:val="24"/>
        </w:rPr>
        <w:t>eCPAT</w:t>
      </w:r>
      <w:proofErr w:type="gramEnd"/>
      <w:r w:rsidRPr="001B1382">
        <w:rPr>
          <w:b/>
          <w:sz w:val="24"/>
          <w:szCs w:val="24"/>
        </w:rPr>
        <w:t>: Using mobile technology to assess the acceptability, feasibility, and efficacy of the Community Park Audit Too</w:t>
      </w:r>
      <w:r w:rsidR="005118B5" w:rsidRPr="001B1382">
        <w:rPr>
          <w:b/>
          <w:sz w:val="24"/>
          <w:szCs w:val="24"/>
        </w:rPr>
        <w:t>l</w:t>
      </w:r>
      <w:r w:rsidRPr="001B1382">
        <w:rPr>
          <w:b/>
          <w:sz w:val="24"/>
          <w:szCs w:val="24"/>
        </w:rPr>
        <w:t xml:space="preserve"> with youth</w:t>
      </w:r>
    </w:p>
    <w:p w:rsidR="005118B5" w:rsidRDefault="005118B5" w:rsidP="005118B5">
      <w:pPr>
        <w:spacing w:after="120" w:line="240" w:lineRule="auto"/>
        <w:jc w:val="center"/>
        <w:rPr>
          <w:b/>
        </w:rPr>
      </w:pPr>
    </w:p>
    <w:p w:rsidR="005118B5" w:rsidRDefault="005118B5" w:rsidP="001E245F">
      <w:pPr>
        <w:spacing w:after="120" w:line="240" w:lineRule="auto"/>
        <w:rPr>
          <w:b/>
        </w:rPr>
      </w:pPr>
      <w:r>
        <w:rPr>
          <w:b/>
        </w:rPr>
        <w:t>Academic Study Team Members:</w:t>
      </w:r>
    </w:p>
    <w:p w:rsidR="00367612" w:rsidRPr="0026439A" w:rsidRDefault="001E245F" w:rsidP="001E245F">
      <w:pPr>
        <w:spacing w:after="0" w:line="240" w:lineRule="auto"/>
      </w:pPr>
      <w:r>
        <w:t xml:space="preserve">Andrew Kaczynski, </w:t>
      </w:r>
      <w:r w:rsidR="00367612" w:rsidRPr="0026439A">
        <w:t>University of South Carolina, PI</w:t>
      </w:r>
    </w:p>
    <w:p w:rsidR="00367612" w:rsidRPr="0026439A" w:rsidRDefault="00353BCC" w:rsidP="001E245F">
      <w:pPr>
        <w:spacing w:after="0" w:line="240" w:lineRule="auto"/>
      </w:pPr>
      <w:r>
        <w:t>Gabrielle Turner-</w:t>
      </w:r>
      <w:proofErr w:type="spellStart"/>
      <w:r w:rsidR="001E245F">
        <w:t>McGrievy</w:t>
      </w:r>
      <w:proofErr w:type="spellEnd"/>
      <w:r w:rsidR="001E245F">
        <w:t>,</w:t>
      </w:r>
      <w:r w:rsidR="00367612" w:rsidRPr="0026439A">
        <w:t xml:space="preserve"> University of South Carolina, Co-I</w:t>
      </w:r>
    </w:p>
    <w:p w:rsidR="00367612" w:rsidRPr="0026439A" w:rsidRDefault="001E245F" w:rsidP="001E245F">
      <w:pPr>
        <w:spacing w:after="0" w:line="240" w:lineRule="auto"/>
      </w:pPr>
      <w:r>
        <w:t xml:space="preserve">Sonja Wilhelm Stanis, </w:t>
      </w:r>
      <w:r w:rsidR="00367612" w:rsidRPr="0026439A">
        <w:t>University of Missouri, Co-I</w:t>
      </w:r>
    </w:p>
    <w:p w:rsidR="00367612" w:rsidRPr="0026439A" w:rsidRDefault="001E245F" w:rsidP="001E245F">
      <w:pPr>
        <w:spacing w:after="0" w:line="240" w:lineRule="auto"/>
      </w:pPr>
      <w:r>
        <w:t>Benjamin Schooley,</w:t>
      </w:r>
      <w:r w:rsidR="00367612" w:rsidRPr="0026439A">
        <w:t xml:space="preserve"> University of South Carolina, Co-I</w:t>
      </w:r>
    </w:p>
    <w:p w:rsidR="00367612" w:rsidRPr="0026439A" w:rsidRDefault="001E245F" w:rsidP="001E245F">
      <w:pPr>
        <w:spacing w:after="0" w:line="240" w:lineRule="auto"/>
      </w:pPr>
      <w:r>
        <w:t xml:space="preserve">Sara Wilcox, </w:t>
      </w:r>
      <w:r w:rsidR="00367612" w:rsidRPr="0026439A">
        <w:t>University of South Carolina, Co-I</w:t>
      </w:r>
    </w:p>
    <w:p w:rsidR="001E245F" w:rsidRDefault="001E245F" w:rsidP="001E245F">
      <w:pPr>
        <w:spacing w:after="120" w:line="240" w:lineRule="auto"/>
      </w:pPr>
      <w:r>
        <w:t xml:space="preserve">Gina Besenyi, </w:t>
      </w:r>
      <w:r w:rsidR="00367612" w:rsidRPr="0026439A">
        <w:t xml:space="preserve">University of South Carolina, Co-I </w:t>
      </w:r>
    </w:p>
    <w:p w:rsidR="0026439A" w:rsidRPr="001E245F" w:rsidRDefault="0026439A" w:rsidP="001E245F">
      <w:pPr>
        <w:spacing w:after="120" w:line="240" w:lineRule="auto"/>
      </w:pPr>
      <w:r>
        <w:rPr>
          <w:b/>
        </w:rPr>
        <w:t>Community Study Team Members:</w:t>
      </w:r>
    </w:p>
    <w:p w:rsidR="0026439A" w:rsidRDefault="0026439A" w:rsidP="001E245F">
      <w:pPr>
        <w:spacing w:after="0" w:line="240" w:lineRule="auto"/>
      </w:pPr>
      <w:r>
        <w:t>Sally Wills, LiveWell Greenville</w:t>
      </w:r>
    </w:p>
    <w:p w:rsidR="0026439A" w:rsidRDefault="0026439A" w:rsidP="001E245F">
      <w:pPr>
        <w:spacing w:after="0" w:line="240" w:lineRule="auto"/>
      </w:pPr>
      <w:r>
        <w:t xml:space="preserve">Mike </w:t>
      </w:r>
      <w:proofErr w:type="spellStart"/>
      <w:r>
        <w:t>Teachey</w:t>
      </w:r>
      <w:proofErr w:type="spellEnd"/>
      <w:r>
        <w:t xml:space="preserve">, Greenville County </w:t>
      </w:r>
      <w:r w:rsidR="00564C58">
        <w:t>Parks, Recreation, and Tourism</w:t>
      </w:r>
    </w:p>
    <w:p w:rsidR="0026439A" w:rsidRDefault="0026439A" w:rsidP="001E245F">
      <w:pPr>
        <w:spacing w:after="0" w:line="240" w:lineRule="auto"/>
      </w:pPr>
      <w:r>
        <w:t xml:space="preserve">Paul Ellis, Greenville County </w:t>
      </w:r>
      <w:r w:rsidR="00564C58">
        <w:t>Parks, Recreation, and Tourism</w:t>
      </w:r>
    </w:p>
    <w:p w:rsidR="0026439A" w:rsidRDefault="0026439A" w:rsidP="001E245F">
      <w:pPr>
        <w:spacing w:after="0" w:line="240" w:lineRule="auto"/>
      </w:pPr>
      <w:r>
        <w:t>Dana Souza, City of Greenville Parks and Recreation Department</w:t>
      </w:r>
    </w:p>
    <w:p w:rsidR="001E245F" w:rsidRDefault="0026439A" w:rsidP="001E245F">
      <w:pPr>
        <w:spacing w:after="120" w:line="240" w:lineRule="auto"/>
      </w:pPr>
      <w:r>
        <w:t>Pam Davis, City of Greenville Parks and Recreation Department</w:t>
      </w:r>
    </w:p>
    <w:p w:rsidR="00367612" w:rsidRPr="0026439A" w:rsidRDefault="0026439A" w:rsidP="001E245F">
      <w:pPr>
        <w:spacing w:after="120" w:line="240" w:lineRule="auto"/>
      </w:pPr>
      <w:r>
        <w:rPr>
          <w:b/>
        </w:rPr>
        <w:t>S</w:t>
      </w:r>
      <w:r w:rsidR="00367612" w:rsidRPr="00DE1E8C">
        <w:rPr>
          <w:b/>
        </w:rPr>
        <w:t xml:space="preserve">tudy Background </w:t>
      </w:r>
    </w:p>
    <w:p w:rsidR="004A4E68" w:rsidRDefault="00367612" w:rsidP="004A4E68">
      <w:pPr>
        <w:spacing w:after="240" w:line="240" w:lineRule="auto"/>
        <w:rPr>
          <w:rFonts w:cs="Times New Roman"/>
        </w:rPr>
      </w:pPr>
      <w:r w:rsidRPr="00DE1E8C">
        <w:t xml:space="preserve">The dramatic increase in obesity rates in recent years has </w:t>
      </w:r>
      <w:r w:rsidR="00A3658B" w:rsidRPr="00DE1E8C">
        <w:t>generated</w:t>
      </w:r>
      <w:r w:rsidRPr="00DE1E8C">
        <w:t xml:space="preserve"> a focus on creating healthier communities through policy, systems, and e</w:t>
      </w:r>
      <w:r w:rsidR="00DE1E8C" w:rsidRPr="00DE1E8C">
        <w:t>n</w:t>
      </w:r>
      <w:r w:rsidR="0032449D">
        <w:t xml:space="preserve">vironmental </w:t>
      </w:r>
      <w:r w:rsidR="00B52838">
        <w:t>(PSE) changes</w:t>
      </w:r>
      <w:r w:rsidR="0032449D">
        <w:t>.</w:t>
      </w:r>
      <w:r w:rsidRPr="00DE1E8C">
        <w:t xml:space="preserve"> Parks</w:t>
      </w:r>
      <w:r w:rsidR="00A3658B">
        <w:t>,</w:t>
      </w:r>
      <w:r w:rsidRPr="00DE1E8C">
        <w:t xml:space="preserve"> in particular</w:t>
      </w:r>
      <w:r w:rsidR="00A3658B">
        <w:t>,</w:t>
      </w:r>
      <w:r w:rsidRPr="00DE1E8C">
        <w:t xml:space="preserve"> are key venues to promote population</w:t>
      </w:r>
      <w:r w:rsidR="00A3658B">
        <w:t xml:space="preserve">-level </w:t>
      </w:r>
      <w:r w:rsidRPr="00DE1E8C">
        <w:t xml:space="preserve">physical activity and other </w:t>
      </w:r>
      <w:r w:rsidR="00A3658B">
        <w:t xml:space="preserve">positive </w:t>
      </w:r>
      <w:r w:rsidRPr="00DE1E8C">
        <w:t>health outcomes. Creating healthy communities, including better parks, will require the interest and</w:t>
      </w:r>
      <w:r w:rsidR="00A3658B">
        <w:t xml:space="preserve"> </w:t>
      </w:r>
      <w:r w:rsidRPr="00DE1E8C">
        <w:t xml:space="preserve">participation of multiple constituencies. Engaging youth in this process is a promising strategy to </w:t>
      </w:r>
      <w:r w:rsidR="00A3658B">
        <w:t>advance</w:t>
      </w:r>
      <w:r w:rsidRPr="00DE1E8C">
        <w:t xml:space="preserve"> PSE </w:t>
      </w:r>
      <w:r w:rsidR="00A3658B">
        <w:t xml:space="preserve">change </w:t>
      </w:r>
      <w:r w:rsidRPr="00DE1E8C">
        <w:t>efforts while creating future health advocacy leaders. Substantial research has shown that youth are frequently the early adopters of new technologies and that such technologies provide a more interactive and hands</w:t>
      </w:r>
      <w:r w:rsidR="007516CB" w:rsidRPr="00DE1E8C">
        <w:t>-</w:t>
      </w:r>
      <w:r w:rsidRPr="00DE1E8C">
        <w:t>on way for youth to engage with their local communities</w:t>
      </w:r>
      <w:r w:rsidR="007516CB" w:rsidRPr="00DE1E8C">
        <w:t>.</w:t>
      </w:r>
      <w:r w:rsidRPr="00DE1E8C">
        <w:t xml:space="preserve"> </w:t>
      </w:r>
      <w:r w:rsidR="00DE1E8C" w:rsidRPr="00DE1E8C">
        <w:rPr>
          <w:rFonts w:cs="Times New Roman"/>
        </w:rPr>
        <w:t>Therefore, to further adva</w:t>
      </w:r>
      <w:r w:rsidR="00DE1E8C">
        <w:rPr>
          <w:rFonts w:cs="Times New Roman"/>
        </w:rPr>
        <w:t xml:space="preserve">nce this area of practice and </w:t>
      </w:r>
      <w:r w:rsidR="00DE1E8C" w:rsidRPr="00DE1E8C">
        <w:rPr>
          <w:rFonts w:cs="Times New Roman"/>
        </w:rPr>
        <w:t>research, developing and testing the viability of technology-based methods for measuring physical activity environments among youth is an important step.</w:t>
      </w:r>
      <w:r w:rsidR="004A4E68">
        <w:rPr>
          <w:rFonts w:cs="Times New Roman"/>
        </w:rPr>
        <w:t xml:space="preserve"> </w:t>
      </w:r>
    </w:p>
    <w:p w:rsidR="004A4E68" w:rsidRDefault="004A4E68" w:rsidP="005118B5">
      <w:pPr>
        <w:spacing w:after="120" w:line="240" w:lineRule="auto"/>
        <w:rPr>
          <w:rFonts w:cs="Times New Roman"/>
        </w:rPr>
      </w:pPr>
      <w:r w:rsidRPr="0029284B">
        <w:rPr>
          <w:rFonts w:cs="Times New Roman"/>
        </w:rPr>
        <w:t xml:space="preserve">The </w:t>
      </w:r>
      <w:r w:rsidR="001E245F">
        <w:rPr>
          <w:rFonts w:cs="Times New Roman"/>
        </w:rPr>
        <w:t>Community Park Audit Tool (</w:t>
      </w:r>
      <w:r w:rsidRPr="0029284B">
        <w:rPr>
          <w:rFonts w:cs="Times New Roman"/>
        </w:rPr>
        <w:t>CPAT</w:t>
      </w:r>
      <w:r w:rsidR="001E245F">
        <w:rPr>
          <w:rFonts w:cs="Times New Roman"/>
        </w:rPr>
        <w:t>)</w:t>
      </w:r>
      <w:r w:rsidRPr="0029284B">
        <w:rPr>
          <w:rFonts w:cs="Times New Roman"/>
        </w:rPr>
        <w:t xml:space="preserve"> is a user-friendly </w:t>
      </w:r>
      <w:r w:rsidR="001E245F">
        <w:rPr>
          <w:rFonts w:cs="Times New Roman"/>
        </w:rPr>
        <w:t>instrument</w:t>
      </w:r>
      <w:r w:rsidRPr="0029284B">
        <w:rPr>
          <w:rFonts w:cs="Times New Roman"/>
        </w:rPr>
        <w:t xml:space="preserve"> that enables community members to quickly and reliably audit community parks for their potential to promote physical activity. It was developed through a grant from the Robert Wood Johnson Foundation (by Dr. Kaczynski, Dr. Wilhelm Stanis, and Ms. Besenyi) and a process involving diverse adult stakeholders in three workshops and field testing in over 60 parks. The</w:t>
      </w:r>
      <w:r w:rsidRPr="0029284B">
        <w:rPr>
          <w:rFonts w:cs="Times New Roman"/>
          <w:bCs/>
        </w:rPr>
        <w:t xml:space="preserve"> CPAT contains four sections</w:t>
      </w:r>
      <w:r w:rsidR="0032449D">
        <w:rPr>
          <w:rFonts w:cs="Times New Roman"/>
          <w:bCs/>
        </w:rPr>
        <w:t xml:space="preserve"> that capture key elements of park environments</w:t>
      </w:r>
      <w:r w:rsidRPr="0029284B">
        <w:rPr>
          <w:rFonts w:cs="Times New Roman"/>
          <w:bCs/>
        </w:rPr>
        <w:t>: park information, access and surrounding neighborhood</w:t>
      </w:r>
      <w:r w:rsidRPr="000E760E">
        <w:rPr>
          <w:rFonts w:cs="Times New Roman"/>
          <w:bCs/>
        </w:rPr>
        <w:t>, park activity area</w:t>
      </w:r>
      <w:r>
        <w:rPr>
          <w:rFonts w:cs="Times New Roman"/>
          <w:bCs/>
        </w:rPr>
        <w:t>s, and park quality and safety</w:t>
      </w:r>
      <w:r w:rsidRPr="000E760E">
        <w:rPr>
          <w:rFonts w:cs="Times New Roman"/>
          <w:bCs/>
        </w:rPr>
        <w:t>. It</w:t>
      </w:r>
      <w:r w:rsidRPr="000E760E">
        <w:rPr>
          <w:rFonts w:cs="Times New Roman"/>
        </w:rPr>
        <w:t xml:space="preserve"> has demonstrated strong content validity and inter-rater reliability, but to date has been primarily tested and used </w:t>
      </w:r>
      <w:r w:rsidR="001E245F">
        <w:rPr>
          <w:rFonts w:cs="Times New Roman"/>
        </w:rPr>
        <w:t xml:space="preserve">only </w:t>
      </w:r>
      <w:r w:rsidRPr="000E760E">
        <w:rPr>
          <w:rFonts w:cs="Times New Roman"/>
        </w:rPr>
        <w:t xml:space="preserve">among </w:t>
      </w:r>
      <w:r w:rsidRPr="001D6EF3">
        <w:rPr>
          <w:rFonts w:cs="Times New Roman"/>
        </w:rPr>
        <w:t>adults.</w:t>
      </w:r>
      <w:r w:rsidR="001E245F" w:rsidRPr="001D6EF3">
        <w:rPr>
          <w:rFonts w:cs="Times New Roman"/>
        </w:rPr>
        <w:t xml:space="preserve"> The present project will</w:t>
      </w:r>
      <w:r w:rsidR="001D6EF3" w:rsidRPr="001D6EF3">
        <w:rPr>
          <w:rFonts w:cs="Times New Roman"/>
        </w:rPr>
        <w:t xml:space="preserve"> develop an </w:t>
      </w:r>
      <w:r w:rsidR="001E245F" w:rsidRPr="001D6EF3">
        <w:rPr>
          <w:rFonts w:cs="Times New Roman"/>
        </w:rPr>
        <w:t>electronic</w:t>
      </w:r>
      <w:r w:rsidR="001D6EF3" w:rsidRPr="001D6EF3">
        <w:rPr>
          <w:rFonts w:cs="Times New Roman"/>
        </w:rPr>
        <w:t xml:space="preserve"> version of the CPAT (eCPAT) and test </w:t>
      </w:r>
      <w:r w:rsidR="00DD4740" w:rsidRPr="001D6EF3">
        <w:rPr>
          <w:rFonts w:cs="Times New Roman"/>
        </w:rPr>
        <w:t>its</w:t>
      </w:r>
      <w:r w:rsidR="001D6EF3" w:rsidRPr="001D6EF3">
        <w:rPr>
          <w:rFonts w:cs="Times New Roman"/>
        </w:rPr>
        <w:t xml:space="preserve"> acceptability, feasibility, and efficacy among </w:t>
      </w:r>
      <w:r w:rsidR="001E245F" w:rsidRPr="001D6EF3">
        <w:rPr>
          <w:rFonts w:cs="Times New Roman"/>
        </w:rPr>
        <w:t>youth.</w:t>
      </w:r>
    </w:p>
    <w:p w:rsidR="007516CB" w:rsidRPr="004A4E68" w:rsidRDefault="007516CB" w:rsidP="005118B5">
      <w:pPr>
        <w:spacing w:after="120" w:line="240" w:lineRule="auto"/>
        <w:rPr>
          <w:rFonts w:cs="Times New Roman"/>
        </w:rPr>
      </w:pPr>
      <w:r w:rsidRPr="00DE1E8C">
        <w:rPr>
          <w:b/>
        </w:rPr>
        <w:t>Purpose</w:t>
      </w:r>
    </w:p>
    <w:p w:rsidR="004A4E68" w:rsidRDefault="00367612" w:rsidP="005118B5">
      <w:pPr>
        <w:spacing w:after="120" w:line="240" w:lineRule="auto"/>
      </w:pPr>
      <w:r w:rsidRPr="00DE1E8C">
        <w:t>This study will develop and test the viability of technology-based methods for measuring physical activity environments and increasing youth engagement in community PSE change efforts.</w:t>
      </w:r>
    </w:p>
    <w:p w:rsidR="00DD4740" w:rsidRDefault="00DD4740" w:rsidP="005118B5">
      <w:pPr>
        <w:spacing w:after="120" w:line="240" w:lineRule="auto"/>
        <w:rPr>
          <w:b/>
        </w:rPr>
      </w:pPr>
    </w:p>
    <w:p w:rsidR="00DD4740" w:rsidRDefault="000F0280" w:rsidP="005118B5">
      <w:pPr>
        <w:spacing w:after="12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A6C1606" wp14:editId="5F95A4FE">
            <wp:simplePos x="0" y="0"/>
            <wp:positionH relativeFrom="column">
              <wp:posOffset>2990850</wp:posOffset>
            </wp:positionH>
            <wp:positionV relativeFrom="paragraph">
              <wp:posOffset>203835</wp:posOffset>
            </wp:positionV>
            <wp:extent cx="1476375" cy="942975"/>
            <wp:effectExtent l="0" t="0" r="9525" b="9525"/>
            <wp:wrapThrough wrapText="bothSides">
              <wp:wrapPolygon edited="0">
                <wp:start x="9476" y="0"/>
                <wp:lineTo x="7804" y="1309"/>
                <wp:lineTo x="6689" y="3927"/>
                <wp:lineTo x="6689" y="6982"/>
                <wp:lineTo x="0" y="13964"/>
                <wp:lineTo x="0" y="21382"/>
                <wp:lineTo x="21461" y="21382"/>
                <wp:lineTo x="21461" y="14836"/>
                <wp:lineTo x="17001" y="13964"/>
                <wp:lineTo x="15050" y="6982"/>
                <wp:lineTo x="15329" y="4800"/>
                <wp:lineTo x="14214" y="1745"/>
                <wp:lineTo x="12542" y="0"/>
                <wp:lineTo x="9476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ville-re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740" w:rsidRDefault="0032449D" w:rsidP="005118B5">
      <w:pPr>
        <w:spacing w:after="12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4DC0D72" wp14:editId="08FC74EE">
            <wp:simplePos x="0" y="0"/>
            <wp:positionH relativeFrom="column">
              <wp:posOffset>1420495</wp:posOffset>
            </wp:positionH>
            <wp:positionV relativeFrom="paragraph">
              <wp:posOffset>198755</wp:posOffset>
            </wp:positionV>
            <wp:extent cx="1238250" cy="753110"/>
            <wp:effectExtent l="0" t="0" r="0" b="8890"/>
            <wp:wrapThrough wrapText="bothSides">
              <wp:wrapPolygon edited="0">
                <wp:start x="18942" y="0"/>
                <wp:lineTo x="0" y="3825"/>
                <wp:lineTo x="0" y="18030"/>
                <wp:lineTo x="4652" y="21309"/>
                <wp:lineTo x="5317" y="21309"/>
                <wp:lineTo x="7975" y="21309"/>
                <wp:lineTo x="16615" y="21309"/>
                <wp:lineTo x="17945" y="19123"/>
                <wp:lineTo x="16283" y="17484"/>
                <wp:lineTo x="21268" y="15298"/>
                <wp:lineTo x="21268" y="0"/>
                <wp:lineTo x="18942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well-greenvil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740" w:rsidRDefault="0032449D" w:rsidP="005118B5">
      <w:pPr>
        <w:spacing w:after="12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5A8302" wp14:editId="70609314">
            <wp:simplePos x="0" y="0"/>
            <wp:positionH relativeFrom="column">
              <wp:posOffset>-542925</wp:posOffset>
            </wp:positionH>
            <wp:positionV relativeFrom="paragraph">
              <wp:posOffset>177800</wp:posOffset>
            </wp:positionV>
            <wp:extent cx="1657350" cy="449580"/>
            <wp:effectExtent l="0" t="0" r="0" b="7620"/>
            <wp:wrapThrough wrapText="bothSides">
              <wp:wrapPolygon edited="0">
                <wp:start x="0" y="0"/>
                <wp:lineTo x="0" y="21051"/>
                <wp:lineTo x="21352" y="21051"/>
                <wp:lineTo x="213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_Lin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008000"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067503C9" wp14:editId="521EF99B">
            <wp:simplePos x="0" y="0"/>
            <wp:positionH relativeFrom="column">
              <wp:posOffset>4717415</wp:posOffset>
            </wp:positionH>
            <wp:positionV relativeFrom="paragraph">
              <wp:posOffset>181610</wp:posOffset>
            </wp:positionV>
            <wp:extent cx="1692275" cy="473710"/>
            <wp:effectExtent l="0" t="0" r="3175" b="2540"/>
            <wp:wrapThrough wrapText="bothSides">
              <wp:wrapPolygon edited="0">
                <wp:start x="0" y="0"/>
                <wp:lineTo x="0" y="20847"/>
                <wp:lineTo x="21397" y="20847"/>
                <wp:lineTo x="21397" y="0"/>
                <wp:lineTo x="0" y="0"/>
              </wp:wrapPolygon>
            </wp:wrapThrough>
            <wp:docPr id="5" name="Picture 5" descr="COG_Color_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G_Color_Sid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6CB" w:rsidRPr="004A4E68" w:rsidRDefault="007516CB" w:rsidP="005118B5">
      <w:pPr>
        <w:spacing w:after="120" w:line="240" w:lineRule="auto"/>
      </w:pPr>
      <w:r>
        <w:rPr>
          <w:b/>
        </w:rPr>
        <w:lastRenderedPageBreak/>
        <w:t>Specific Aims</w:t>
      </w:r>
    </w:p>
    <w:p w:rsidR="0032449D" w:rsidRDefault="007516CB" w:rsidP="0032449D">
      <w:pPr>
        <w:pStyle w:val="NoSpacing"/>
        <w:numPr>
          <w:ilvl w:val="0"/>
          <w:numId w:val="3"/>
        </w:numPr>
        <w:spacing w:after="120"/>
        <w:ind w:left="720"/>
        <w:rPr>
          <w:rFonts w:cs="Times New Roman"/>
        </w:rPr>
      </w:pPr>
      <w:r w:rsidRPr="000B0513">
        <w:rPr>
          <w:rFonts w:cs="Times New Roman"/>
        </w:rPr>
        <w:t>To develop an electronic version of the Community Park Audit Tool</w:t>
      </w:r>
      <w:r w:rsidR="00692500">
        <w:rPr>
          <w:rFonts w:cs="Times New Roman"/>
          <w:vertAlign w:val="superscript"/>
        </w:rPr>
        <w:t xml:space="preserve"> </w:t>
      </w:r>
      <w:r w:rsidRPr="000B0513">
        <w:rPr>
          <w:rFonts w:cs="Times New Roman"/>
        </w:rPr>
        <w:t xml:space="preserve">for use by youth and the general public on portable electronic devices. </w:t>
      </w:r>
    </w:p>
    <w:p w:rsidR="004A4E68" w:rsidRPr="0032449D" w:rsidRDefault="007516CB" w:rsidP="0032449D">
      <w:pPr>
        <w:pStyle w:val="NoSpacing"/>
        <w:numPr>
          <w:ilvl w:val="0"/>
          <w:numId w:val="3"/>
        </w:numPr>
        <w:spacing w:after="120"/>
        <w:ind w:left="720"/>
        <w:rPr>
          <w:rFonts w:cs="Times New Roman"/>
        </w:rPr>
      </w:pPr>
      <w:r w:rsidRPr="0032449D">
        <w:rPr>
          <w:rFonts w:cs="Times New Roman"/>
        </w:rPr>
        <w:t xml:space="preserve">To examine the </w:t>
      </w:r>
      <w:r w:rsidR="00773604">
        <w:rPr>
          <w:rFonts w:cs="Times New Roman"/>
        </w:rPr>
        <w:t>reliability, validity, and engagement</w:t>
      </w:r>
      <w:r w:rsidRPr="0032449D">
        <w:rPr>
          <w:rFonts w:cs="Times New Roman"/>
        </w:rPr>
        <w:t xml:space="preserve"> of youth auditing parks using electronic vs. paper-and-pencil methods.</w:t>
      </w:r>
    </w:p>
    <w:p w:rsidR="007516CB" w:rsidRPr="004A4E68" w:rsidRDefault="007516CB" w:rsidP="004A4E68">
      <w:pPr>
        <w:pStyle w:val="NoSpacing"/>
        <w:spacing w:after="120"/>
        <w:ind w:left="1440" w:hanging="1440"/>
        <w:rPr>
          <w:rFonts w:cs="Times New Roman"/>
        </w:rPr>
      </w:pPr>
      <w:r w:rsidRPr="007516CB">
        <w:rPr>
          <w:rFonts w:cs="Times New Roman"/>
          <w:b/>
        </w:rPr>
        <w:t>Study Setting</w:t>
      </w:r>
    </w:p>
    <w:p w:rsidR="007516CB" w:rsidRPr="007516CB" w:rsidRDefault="00246AD3" w:rsidP="005118B5">
      <w:pPr>
        <w:pStyle w:val="NoSpacing"/>
        <w:numPr>
          <w:ilvl w:val="0"/>
          <w:numId w:val="1"/>
        </w:numPr>
        <w:spacing w:after="120"/>
        <w:rPr>
          <w:rFonts w:cs="Times New Roman"/>
        </w:rPr>
      </w:pPr>
      <w:r>
        <w:rPr>
          <w:rFonts w:cs="Times New Roman"/>
        </w:rPr>
        <w:t>P</w:t>
      </w:r>
      <w:r w:rsidR="007516CB" w:rsidRPr="007516CB">
        <w:rPr>
          <w:rFonts w:cs="Times New Roman"/>
        </w:rPr>
        <w:t>arks</w:t>
      </w:r>
      <w:r w:rsidR="007516CB">
        <w:rPr>
          <w:rFonts w:cs="Times New Roman"/>
        </w:rPr>
        <w:t xml:space="preserve"> (combination of </w:t>
      </w:r>
      <w:r w:rsidR="0003787F">
        <w:rPr>
          <w:rFonts w:cs="Times New Roman"/>
        </w:rPr>
        <w:t>city and county</w:t>
      </w:r>
      <w:r w:rsidR="007516CB">
        <w:rPr>
          <w:rFonts w:cs="Times New Roman"/>
        </w:rPr>
        <w:t>)</w:t>
      </w:r>
      <w:r w:rsidR="007516CB" w:rsidRPr="007516CB">
        <w:rPr>
          <w:rFonts w:cs="Times New Roman"/>
        </w:rPr>
        <w:t xml:space="preserve"> i</w:t>
      </w:r>
      <w:r w:rsidR="007516CB">
        <w:rPr>
          <w:rFonts w:cs="Times New Roman"/>
        </w:rPr>
        <w:t xml:space="preserve">n Greenville County, </w:t>
      </w:r>
      <w:r w:rsidR="00037266">
        <w:rPr>
          <w:rFonts w:cs="Times New Roman"/>
        </w:rPr>
        <w:t xml:space="preserve">SC - </w:t>
      </w:r>
      <w:r w:rsidR="00037266" w:rsidRPr="000E760E">
        <w:rPr>
          <w:rFonts w:cs="Times New Roman"/>
          <w:color w:val="000000"/>
        </w:rPr>
        <w:t xml:space="preserve">diverse mix of quality, size, features, </w:t>
      </w:r>
      <w:r w:rsidR="00037266">
        <w:rPr>
          <w:rFonts w:cs="Times New Roman"/>
          <w:color w:val="000000"/>
        </w:rPr>
        <w:t>and</w:t>
      </w:r>
      <w:r w:rsidR="00037266" w:rsidRPr="000E760E">
        <w:rPr>
          <w:rFonts w:cs="Times New Roman"/>
          <w:color w:val="000000"/>
        </w:rPr>
        <w:t xml:space="preserve"> geographic dispers</w:t>
      </w:r>
      <w:r w:rsidR="00037266">
        <w:rPr>
          <w:rFonts w:cs="Times New Roman"/>
          <w:color w:val="000000"/>
        </w:rPr>
        <w:t>ion</w:t>
      </w:r>
    </w:p>
    <w:p w:rsidR="007516CB" w:rsidRDefault="007516CB" w:rsidP="005118B5">
      <w:pPr>
        <w:spacing w:after="120" w:line="240" w:lineRule="auto"/>
        <w:rPr>
          <w:b/>
        </w:rPr>
      </w:pPr>
      <w:r>
        <w:rPr>
          <w:b/>
        </w:rPr>
        <w:t>Study Participants</w:t>
      </w:r>
    </w:p>
    <w:p w:rsidR="00692500" w:rsidRPr="00692500" w:rsidRDefault="00692500" w:rsidP="004A4E68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>
        <w:t>Youth</w:t>
      </w:r>
      <w:r w:rsidR="00144540">
        <w:t xml:space="preserve"> ages 12-18</w:t>
      </w:r>
      <w:r w:rsidR="007516CB">
        <w:t xml:space="preserve"> years from Greenville County, SC</w:t>
      </w:r>
      <w:r w:rsidR="00037266">
        <w:t xml:space="preserve"> (</w:t>
      </w:r>
      <w:r w:rsidR="0003787F">
        <w:t>approximately</w:t>
      </w:r>
      <w:r w:rsidR="00037266">
        <w:t xml:space="preserve"> 20 youth </w:t>
      </w:r>
      <w:r w:rsidR="0003787F">
        <w:t xml:space="preserve">will participate in </w:t>
      </w:r>
      <w:r w:rsidR="004D458A">
        <w:t>beta testing of the eCPAT app</w:t>
      </w:r>
      <w:r>
        <w:t xml:space="preserve"> as part of the eCPAT development process, while a larger number will engage in testing</w:t>
      </w:r>
      <w:r w:rsidR="004D458A">
        <w:t xml:space="preserve"> the eCPAT app</w:t>
      </w:r>
      <w:r>
        <w:t xml:space="preserve"> in Greenville area parks).</w:t>
      </w:r>
    </w:p>
    <w:p w:rsidR="007516CB" w:rsidRPr="00692500" w:rsidRDefault="007516CB" w:rsidP="00692500">
      <w:pPr>
        <w:spacing w:after="120" w:line="240" w:lineRule="auto"/>
        <w:rPr>
          <w:b/>
        </w:rPr>
      </w:pPr>
      <w:r w:rsidRPr="00692500">
        <w:rPr>
          <w:b/>
        </w:rPr>
        <w:t>Study Stages</w:t>
      </w:r>
    </w:p>
    <w:tbl>
      <w:tblPr>
        <w:tblStyle w:val="TableGrid"/>
        <w:tblW w:w="5000" w:type="pct"/>
        <w:tblInd w:w="108" w:type="dxa"/>
        <w:tblLook w:val="04A0" w:firstRow="1" w:lastRow="0" w:firstColumn="1" w:lastColumn="0" w:noHBand="0" w:noVBand="1"/>
      </w:tblPr>
      <w:tblGrid>
        <w:gridCol w:w="2978"/>
        <w:gridCol w:w="536"/>
        <w:gridCol w:w="540"/>
        <w:gridCol w:w="588"/>
        <w:gridCol w:w="523"/>
        <w:gridCol w:w="550"/>
        <w:gridCol w:w="532"/>
        <w:gridCol w:w="523"/>
        <w:gridCol w:w="532"/>
        <w:gridCol w:w="561"/>
        <w:gridCol w:w="529"/>
        <w:gridCol w:w="585"/>
        <w:gridCol w:w="599"/>
      </w:tblGrid>
      <w:tr w:rsidR="007516CB" w:rsidRPr="0096496D" w:rsidTr="0032449D">
        <w:trPr>
          <w:trHeight w:val="86"/>
        </w:trPr>
        <w:tc>
          <w:tcPr>
            <w:tcW w:w="1555" w:type="pct"/>
            <w:vMerge w:val="restart"/>
            <w:shd w:val="clear" w:color="auto" w:fill="auto"/>
          </w:tcPr>
          <w:p w:rsidR="001E245F" w:rsidRDefault="001E245F" w:rsidP="0032449D">
            <w:pPr>
              <w:pStyle w:val="NoSpacing"/>
              <w:spacing w:after="120"/>
              <w:ind w:left="-43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516CB" w:rsidRPr="00837B0E" w:rsidRDefault="00692500" w:rsidP="005118B5">
            <w:pPr>
              <w:pStyle w:val="NoSpacing"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Study</w:t>
            </w:r>
            <w:r w:rsidR="007516CB" w:rsidRPr="00837B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Stages (2013-14)</w:t>
            </w:r>
          </w:p>
        </w:tc>
        <w:tc>
          <w:tcPr>
            <w:tcW w:w="170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CB" w:rsidRPr="00837B0E" w:rsidRDefault="007516CB" w:rsidP="005118B5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7B0E">
              <w:rPr>
                <w:rFonts w:asciiTheme="minorHAnsi" w:hAnsiTheme="minorHAnsi"/>
                <w:b/>
                <w:sz w:val="20"/>
                <w:szCs w:val="20"/>
              </w:rPr>
              <w:t>Specific Aim 1</w:t>
            </w:r>
          </w:p>
        </w:tc>
        <w:tc>
          <w:tcPr>
            <w:tcW w:w="1738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CB" w:rsidRPr="00837B0E" w:rsidRDefault="007516CB" w:rsidP="005118B5">
            <w:pPr>
              <w:pStyle w:val="NoSpacing"/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7B0E">
              <w:rPr>
                <w:rFonts w:asciiTheme="minorHAnsi" w:hAnsiTheme="minorHAnsi" w:cstheme="minorHAnsi"/>
                <w:b/>
                <w:sz w:val="20"/>
                <w:szCs w:val="20"/>
              </w:rPr>
              <w:t>Specific Aim 2</w:t>
            </w:r>
          </w:p>
        </w:tc>
      </w:tr>
      <w:tr w:rsidR="007516CB" w:rsidRPr="0096496D" w:rsidTr="0032449D">
        <w:trPr>
          <w:trHeight w:val="86"/>
        </w:trPr>
        <w:tc>
          <w:tcPr>
            <w:tcW w:w="1555" w:type="pct"/>
            <w:vMerge/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CB" w:rsidRPr="00837B0E" w:rsidRDefault="007516CB" w:rsidP="005118B5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7B0E">
              <w:rPr>
                <w:rFonts w:asciiTheme="minorHAnsi" w:hAnsiTheme="minorHAnsi"/>
                <w:b/>
                <w:sz w:val="20"/>
                <w:szCs w:val="20"/>
              </w:rPr>
              <w:t>July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CB" w:rsidRPr="00837B0E" w:rsidRDefault="007516CB" w:rsidP="005118B5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7B0E">
              <w:rPr>
                <w:rFonts w:asciiTheme="minorHAnsi" w:hAnsiTheme="minorHAnsi"/>
                <w:b/>
                <w:sz w:val="20"/>
                <w:szCs w:val="20"/>
              </w:rPr>
              <w:t>Aug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CB" w:rsidRPr="00837B0E" w:rsidRDefault="007516CB" w:rsidP="005118B5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7B0E">
              <w:rPr>
                <w:rFonts w:asciiTheme="minorHAnsi" w:hAnsiTheme="minorHAnsi"/>
                <w:b/>
                <w:sz w:val="20"/>
                <w:szCs w:val="20"/>
              </w:rPr>
              <w:t>Sept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CB" w:rsidRPr="00837B0E" w:rsidRDefault="007516CB" w:rsidP="005118B5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7B0E">
              <w:rPr>
                <w:rFonts w:asciiTheme="minorHAnsi" w:hAnsiTheme="minorHAnsi"/>
                <w:b/>
                <w:sz w:val="20"/>
                <w:szCs w:val="20"/>
              </w:rPr>
              <w:t>Oct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CB" w:rsidRPr="00837B0E" w:rsidRDefault="007516CB" w:rsidP="005118B5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7B0E">
              <w:rPr>
                <w:rFonts w:asciiTheme="minorHAnsi" w:hAnsiTheme="minorHAnsi"/>
                <w:b/>
                <w:sz w:val="20"/>
                <w:szCs w:val="20"/>
              </w:rPr>
              <w:t>Nov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CB" w:rsidRPr="00837B0E" w:rsidRDefault="007516CB" w:rsidP="005118B5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7B0E">
              <w:rPr>
                <w:rFonts w:asciiTheme="minorHAnsi" w:hAnsiTheme="minorHAnsi"/>
                <w:b/>
                <w:sz w:val="20"/>
                <w:szCs w:val="20"/>
              </w:rPr>
              <w:t>Dec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CB" w:rsidRPr="00837B0E" w:rsidRDefault="007516CB" w:rsidP="005118B5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7B0E">
              <w:rPr>
                <w:rFonts w:asciiTheme="minorHAnsi" w:hAnsiTheme="minorHAnsi"/>
                <w:b/>
                <w:sz w:val="20"/>
                <w:szCs w:val="20"/>
              </w:rPr>
              <w:t>Jan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CB" w:rsidRPr="00837B0E" w:rsidRDefault="007516CB" w:rsidP="005118B5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7B0E">
              <w:rPr>
                <w:rFonts w:asciiTheme="minorHAnsi" w:hAnsiTheme="minorHAnsi"/>
                <w:b/>
                <w:sz w:val="20"/>
                <w:szCs w:val="20"/>
              </w:rPr>
              <w:t>Feb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CB" w:rsidRPr="00837B0E" w:rsidRDefault="007516CB" w:rsidP="005118B5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7B0E">
              <w:rPr>
                <w:rFonts w:asciiTheme="minorHAnsi" w:hAnsiTheme="minorHAnsi"/>
                <w:b/>
                <w:sz w:val="20"/>
                <w:szCs w:val="20"/>
              </w:rPr>
              <w:t>Mar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CB" w:rsidRPr="00837B0E" w:rsidRDefault="007516CB" w:rsidP="005118B5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7B0E">
              <w:rPr>
                <w:rFonts w:asciiTheme="minorHAnsi" w:hAnsiTheme="minorHAnsi"/>
                <w:b/>
                <w:sz w:val="20"/>
                <w:szCs w:val="20"/>
              </w:rPr>
              <w:t>Apr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CB" w:rsidRPr="00837B0E" w:rsidRDefault="007516CB" w:rsidP="005118B5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7B0E">
              <w:rPr>
                <w:rFonts w:asciiTheme="minorHAnsi" w:hAnsiTheme="minorHAnsi"/>
                <w:b/>
                <w:sz w:val="20"/>
                <w:szCs w:val="20"/>
              </w:rPr>
              <w:t>May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CB" w:rsidRPr="00837B0E" w:rsidRDefault="007516CB" w:rsidP="005118B5">
            <w:pPr>
              <w:pStyle w:val="NoSpacing"/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7B0E">
              <w:rPr>
                <w:rFonts w:asciiTheme="minorHAnsi" w:hAnsiTheme="minorHAnsi" w:cstheme="minorHAnsi"/>
                <w:b/>
                <w:sz w:val="20"/>
                <w:szCs w:val="20"/>
              </w:rPr>
              <w:t>June</w:t>
            </w:r>
          </w:p>
        </w:tc>
      </w:tr>
      <w:tr w:rsidR="007516CB" w:rsidRPr="0096496D" w:rsidTr="0032449D">
        <w:trPr>
          <w:trHeight w:val="86"/>
        </w:trPr>
        <w:tc>
          <w:tcPr>
            <w:tcW w:w="1555" w:type="pct"/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37B0E">
              <w:rPr>
                <w:rFonts w:asciiTheme="minorHAnsi" w:hAnsiTheme="minorHAnsi" w:cstheme="minorHAnsi"/>
                <w:sz w:val="20"/>
                <w:szCs w:val="20"/>
              </w:rPr>
              <w:t>Review of literature</w:t>
            </w:r>
          </w:p>
        </w:tc>
        <w:tc>
          <w:tcPr>
            <w:tcW w:w="280" w:type="pct"/>
            <w:shd w:val="clear" w:color="auto" w:fill="A6A6A6" w:themeFill="background1" w:themeFillShade="A6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6A6A6" w:themeFill="background1" w:themeFillShade="A6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16CB" w:rsidRPr="0096496D" w:rsidTr="0032449D">
        <w:trPr>
          <w:trHeight w:val="86"/>
        </w:trPr>
        <w:tc>
          <w:tcPr>
            <w:tcW w:w="1555" w:type="pct"/>
            <w:shd w:val="clear" w:color="auto" w:fill="auto"/>
          </w:tcPr>
          <w:p w:rsidR="007516CB" w:rsidRPr="00837B0E" w:rsidRDefault="001E245F" w:rsidP="001E245F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37B0E">
              <w:rPr>
                <w:rFonts w:asciiTheme="minorHAnsi" w:hAnsiTheme="minorHAnsi" w:cstheme="minorHAnsi"/>
                <w:sz w:val="20"/>
                <w:szCs w:val="20"/>
              </w:rPr>
              <w:t xml:space="preserve">Key informant interviews </w:t>
            </w:r>
          </w:p>
        </w:tc>
        <w:tc>
          <w:tcPr>
            <w:tcW w:w="280" w:type="pct"/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6A6A6" w:themeFill="background1" w:themeFillShade="A6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6A6A6" w:themeFill="background1" w:themeFillShade="A6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16CB" w:rsidRPr="0096496D" w:rsidTr="00FA52C4">
        <w:trPr>
          <w:trHeight w:val="86"/>
        </w:trPr>
        <w:tc>
          <w:tcPr>
            <w:tcW w:w="1555" w:type="pct"/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37B0E">
              <w:rPr>
                <w:rFonts w:asciiTheme="minorHAnsi" w:hAnsiTheme="minorHAnsi" w:cstheme="minorHAnsi"/>
                <w:sz w:val="20"/>
                <w:szCs w:val="20"/>
              </w:rPr>
              <w:t>Development of eCPAT</w:t>
            </w:r>
          </w:p>
        </w:tc>
        <w:tc>
          <w:tcPr>
            <w:tcW w:w="280" w:type="pct"/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6A6A6" w:themeFill="background1" w:themeFillShade="A6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6A6A6" w:themeFill="background1" w:themeFillShade="A6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6A6A6" w:themeFill="background1" w:themeFillShade="A6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6A6A6" w:themeFill="background1" w:themeFillShade="A6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6A6A6" w:themeFill="background1" w:themeFillShade="A6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16CB" w:rsidRPr="0096496D" w:rsidTr="00144540">
        <w:trPr>
          <w:trHeight w:val="86"/>
        </w:trPr>
        <w:tc>
          <w:tcPr>
            <w:tcW w:w="1555" w:type="pct"/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37B0E">
              <w:rPr>
                <w:rFonts w:asciiTheme="minorHAnsi" w:hAnsiTheme="minorHAnsi" w:cstheme="minorHAnsi"/>
                <w:sz w:val="20"/>
                <w:szCs w:val="20"/>
              </w:rPr>
              <w:t>Testing of eCPAT with youth</w:t>
            </w:r>
          </w:p>
        </w:tc>
        <w:tc>
          <w:tcPr>
            <w:tcW w:w="280" w:type="pct"/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6A6A6" w:themeFill="background1" w:themeFillShade="A6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6A6A6" w:themeFill="background1" w:themeFillShade="A6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6A6A6" w:themeFill="background1" w:themeFillShade="A6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6A6A6" w:themeFill="background1" w:themeFillShade="A6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16CB" w:rsidRPr="0096496D" w:rsidTr="0032449D">
        <w:trPr>
          <w:trHeight w:val="86"/>
        </w:trPr>
        <w:tc>
          <w:tcPr>
            <w:tcW w:w="1555" w:type="pct"/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37B0E">
              <w:rPr>
                <w:rFonts w:asciiTheme="minorHAnsi" w:hAnsiTheme="minorHAnsi" w:cstheme="minorHAnsi"/>
                <w:sz w:val="20"/>
                <w:szCs w:val="20"/>
              </w:rPr>
              <w:t>Evaluation of youth experience</w:t>
            </w:r>
          </w:p>
        </w:tc>
        <w:tc>
          <w:tcPr>
            <w:tcW w:w="280" w:type="pct"/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6A6A6" w:themeFill="background1" w:themeFillShade="A6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6A6A6" w:themeFill="background1" w:themeFillShade="A6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6A6A6" w:themeFill="background1" w:themeFillShade="A6"/>
          </w:tcPr>
          <w:p w:rsidR="007516CB" w:rsidRPr="00837B0E" w:rsidRDefault="007516CB" w:rsidP="005118B5">
            <w:pPr>
              <w:pStyle w:val="NoSpacing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516CB" w:rsidRPr="0032449D" w:rsidRDefault="007516CB" w:rsidP="005118B5">
      <w:pPr>
        <w:spacing w:after="12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037266" w:rsidRPr="00037266" w:rsidRDefault="00037266" w:rsidP="005118B5">
      <w:pPr>
        <w:pStyle w:val="ListParagraph"/>
        <w:numPr>
          <w:ilvl w:val="0"/>
          <w:numId w:val="2"/>
        </w:numPr>
        <w:spacing w:after="120" w:line="240" w:lineRule="auto"/>
        <w:rPr>
          <w:b/>
        </w:rPr>
      </w:pPr>
      <w:r w:rsidRPr="00037266">
        <w:rPr>
          <w:rFonts w:cs="Times New Roman"/>
          <w:b/>
        </w:rPr>
        <w:t>Review of Literature:</w:t>
      </w:r>
      <w:r>
        <w:rPr>
          <w:rFonts w:cs="Times New Roman"/>
        </w:rPr>
        <w:t xml:space="preserve"> We will conduct</w:t>
      </w:r>
      <w:r w:rsidRPr="000E760E">
        <w:rPr>
          <w:rFonts w:cs="Times New Roman"/>
        </w:rPr>
        <w:t xml:space="preserve"> a systematic literature review on issues related to technology, youth, and health advocacy to better understand how technology can engage youth in health </w:t>
      </w:r>
      <w:r>
        <w:rPr>
          <w:rFonts w:cs="Times New Roman"/>
        </w:rPr>
        <w:t xml:space="preserve">research and policy </w:t>
      </w:r>
      <w:r w:rsidRPr="000E760E">
        <w:rPr>
          <w:rFonts w:cs="Times New Roman"/>
        </w:rPr>
        <w:t>actions</w:t>
      </w:r>
      <w:r>
        <w:rPr>
          <w:rFonts w:cs="Times New Roman"/>
        </w:rPr>
        <w:t>.</w:t>
      </w:r>
    </w:p>
    <w:p w:rsidR="001E245F" w:rsidRPr="00037266" w:rsidRDefault="001E245F" w:rsidP="001E245F">
      <w:pPr>
        <w:pStyle w:val="ListParagraph"/>
        <w:numPr>
          <w:ilvl w:val="0"/>
          <w:numId w:val="2"/>
        </w:numPr>
        <w:spacing w:after="120" w:line="240" w:lineRule="auto"/>
        <w:rPr>
          <w:b/>
        </w:rPr>
      </w:pPr>
      <w:r>
        <w:rPr>
          <w:rFonts w:cs="Times New Roman"/>
          <w:b/>
        </w:rPr>
        <w:t xml:space="preserve">Key Informant Interviews: </w:t>
      </w:r>
      <w:r>
        <w:rPr>
          <w:rFonts w:cs="Times New Roman"/>
        </w:rPr>
        <w:t>We will conduct</w:t>
      </w:r>
      <w:r>
        <w:rPr>
          <w:b/>
        </w:rPr>
        <w:t xml:space="preserve"> </w:t>
      </w:r>
      <w:r w:rsidRPr="000E760E">
        <w:rPr>
          <w:rFonts w:cs="Times New Roman"/>
        </w:rPr>
        <w:t xml:space="preserve">interviews with </w:t>
      </w:r>
      <w:r>
        <w:rPr>
          <w:rFonts w:cs="Times New Roman"/>
        </w:rPr>
        <w:t xml:space="preserve">4-5 </w:t>
      </w:r>
      <w:r w:rsidRPr="000E760E">
        <w:rPr>
          <w:rFonts w:cs="Times New Roman"/>
        </w:rPr>
        <w:t xml:space="preserve">key informants (e.g., </w:t>
      </w:r>
      <w:r>
        <w:rPr>
          <w:rFonts w:cs="Times New Roman"/>
        </w:rPr>
        <w:t xml:space="preserve">academic and community leaders </w:t>
      </w:r>
      <w:r w:rsidRPr="000E760E">
        <w:rPr>
          <w:rFonts w:cs="Times New Roman"/>
        </w:rPr>
        <w:t>familiar with youth engagement, developing electronic tools) to assist in understanding key elements to include in the development of an electronic version of the CPAT</w:t>
      </w:r>
      <w:r>
        <w:rPr>
          <w:rFonts w:cs="Times New Roman"/>
        </w:rPr>
        <w:t>.</w:t>
      </w:r>
    </w:p>
    <w:p w:rsidR="00037266" w:rsidRPr="00E77BFA" w:rsidRDefault="00037266" w:rsidP="00E77BFA">
      <w:pPr>
        <w:pStyle w:val="ListParagraph"/>
        <w:numPr>
          <w:ilvl w:val="0"/>
          <w:numId w:val="2"/>
        </w:numPr>
        <w:spacing w:after="120" w:line="240" w:lineRule="auto"/>
        <w:rPr>
          <w:b/>
        </w:rPr>
      </w:pPr>
      <w:r w:rsidRPr="003953DA">
        <w:rPr>
          <w:rFonts w:cs="Times New Roman"/>
          <w:b/>
        </w:rPr>
        <w:t>Development of eCPAT:</w:t>
      </w:r>
      <w:r w:rsidR="003B7370" w:rsidRPr="003953DA">
        <w:rPr>
          <w:rFonts w:cs="Times New Roman"/>
          <w:b/>
        </w:rPr>
        <w:t xml:space="preserve"> </w:t>
      </w:r>
      <w:r w:rsidR="003B7370" w:rsidRPr="003953DA">
        <w:rPr>
          <w:rFonts w:cs="Times New Roman"/>
        </w:rPr>
        <w:t>The study team will develop an app version of the CPAT (eCPAT) for use on portable electronic devices (i.e., tablets, smartphones) using an Android platform.</w:t>
      </w:r>
      <w:r w:rsidR="003953DA">
        <w:rPr>
          <w:rFonts w:cs="Times New Roman"/>
        </w:rPr>
        <w:t xml:space="preserve"> As part of the development process, 20 youth (variety of genders, ages, and race/ethnicities) will be recruited to participate in beta testing of the initial version of the eCPAT app </w:t>
      </w:r>
      <w:r w:rsidR="003953DA" w:rsidRPr="000E760E">
        <w:rPr>
          <w:rFonts w:cs="Times New Roman"/>
        </w:rPr>
        <w:t xml:space="preserve">to </w:t>
      </w:r>
      <w:r w:rsidR="00144540">
        <w:rPr>
          <w:rFonts w:cs="Times New Roman"/>
        </w:rPr>
        <w:t>revise</w:t>
      </w:r>
      <w:r w:rsidR="003953DA">
        <w:rPr>
          <w:rFonts w:cs="Times New Roman"/>
        </w:rPr>
        <w:t>/refine eCPAT towards youth functional preferences and ease of use.</w:t>
      </w:r>
    </w:p>
    <w:p w:rsidR="003B7370" w:rsidRPr="003B7370" w:rsidRDefault="003B7370" w:rsidP="005118B5">
      <w:pPr>
        <w:pStyle w:val="ListParagraph"/>
        <w:numPr>
          <w:ilvl w:val="0"/>
          <w:numId w:val="2"/>
        </w:numPr>
        <w:spacing w:after="120" w:line="240" w:lineRule="auto"/>
        <w:rPr>
          <w:b/>
        </w:rPr>
      </w:pPr>
      <w:r>
        <w:rPr>
          <w:rFonts w:cs="Times New Roman"/>
          <w:b/>
        </w:rPr>
        <w:t>Testing of eCPAT with Youth:</w:t>
      </w:r>
      <w:r>
        <w:rPr>
          <w:b/>
        </w:rPr>
        <w:t xml:space="preserve"> </w:t>
      </w:r>
      <w:r>
        <w:rPr>
          <w:rFonts w:cs="Times New Roman"/>
        </w:rPr>
        <w:t xml:space="preserve">Intervention </w:t>
      </w:r>
      <w:r w:rsidRPr="000E760E">
        <w:rPr>
          <w:rFonts w:cs="Times New Roman"/>
        </w:rPr>
        <w:t xml:space="preserve">youth will complete </w:t>
      </w:r>
      <w:r>
        <w:rPr>
          <w:rFonts w:cs="Times New Roman"/>
        </w:rPr>
        <w:t>two</w:t>
      </w:r>
      <w:r w:rsidRPr="000E760E">
        <w:rPr>
          <w:rFonts w:cs="Times New Roman"/>
        </w:rPr>
        <w:t xml:space="preserve"> </w:t>
      </w:r>
      <w:r w:rsidRPr="00C7531F">
        <w:rPr>
          <w:rFonts w:cs="Times New Roman"/>
        </w:rPr>
        <w:t xml:space="preserve">park audits </w:t>
      </w:r>
      <w:r>
        <w:rPr>
          <w:rFonts w:cs="Times New Roman"/>
        </w:rPr>
        <w:t xml:space="preserve">each </w:t>
      </w:r>
      <w:r w:rsidRPr="00C7531F">
        <w:rPr>
          <w:rFonts w:cs="Times New Roman"/>
        </w:rPr>
        <w:t xml:space="preserve">(2 paper, 2 electronic, or 1 of each) on </w:t>
      </w:r>
      <w:r>
        <w:rPr>
          <w:rFonts w:cs="Times New Roman"/>
        </w:rPr>
        <w:t xml:space="preserve">a total of </w:t>
      </w:r>
      <w:r w:rsidR="00F65C2F">
        <w:rPr>
          <w:rFonts w:cs="Times New Roman"/>
        </w:rPr>
        <w:t xml:space="preserve">50 </w:t>
      </w:r>
      <w:r w:rsidR="00692500">
        <w:rPr>
          <w:rFonts w:cs="Times New Roman"/>
        </w:rPr>
        <w:t>parks. The d</w:t>
      </w:r>
      <w:r>
        <w:rPr>
          <w:rFonts w:cs="Times New Roman"/>
        </w:rPr>
        <w:t xml:space="preserve">ata </w:t>
      </w:r>
      <w:r w:rsidR="00692500">
        <w:rPr>
          <w:rFonts w:cs="Times New Roman"/>
        </w:rPr>
        <w:t xml:space="preserve">collected </w:t>
      </w:r>
      <w:r>
        <w:rPr>
          <w:rFonts w:cs="Times New Roman"/>
        </w:rPr>
        <w:t>will be used to examine validity, inter-rater reliability, and feasibility</w:t>
      </w:r>
      <w:r w:rsidR="00B52838">
        <w:rPr>
          <w:rFonts w:cs="Times New Roman"/>
        </w:rPr>
        <w:t xml:space="preserve"> of the CPAT and eCPAT tools</w:t>
      </w:r>
      <w:r>
        <w:rPr>
          <w:rFonts w:cs="Times New Roman"/>
        </w:rPr>
        <w:t xml:space="preserve">. </w:t>
      </w:r>
    </w:p>
    <w:p w:rsidR="004A4E68" w:rsidRPr="004A4E68" w:rsidRDefault="003B7370" w:rsidP="005118B5">
      <w:pPr>
        <w:pStyle w:val="ListParagraph"/>
        <w:numPr>
          <w:ilvl w:val="0"/>
          <w:numId w:val="2"/>
        </w:numPr>
        <w:spacing w:after="120" w:line="240" w:lineRule="auto"/>
        <w:rPr>
          <w:b/>
        </w:rPr>
      </w:pPr>
      <w:r>
        <w:rPr>
          <w:rFonts w:cs="Times New Roman"/>
          <w:b/>
        </w:rPr>
        <w:t>Evaluation of Youth Experience:</w:t>
      </w:r>
      <w:r>
        <w:rPr>
          <w:b/>
        </w:rPr>
        <w:t xml:space="preserve"> </w:t>
      </w:r>
      <w:r w:rsidRPr="003B7370">
        <w:t>We will conduct</w:t>
      </w:r>
      <w:r>
        <w:t xml:space="preserve"> follow-up </w:t>
      </w:r>
      <w:r w:rsidRPr="00C7531F">
        <w:rPr>
          <w:rFonts w:cs="Times New Roman"/>
        </w:rPr>
        <w:t>focus groups and brief surveys</w:t>
      </w:r>
      <w:r>
        <w:rPr>
          <w:rFonts w:cs="Times New Roman"/>
        </w:rPr>
        <w:t xml:space="preserve"> to understand </w:t>
      </w:r>
      <w:r w:rsidR="00692500">
        <w:rPr>
          <w:rFonts w:cs="Times New Roman"/>
        </w:rPr>
        <w:t>the youth</w:t>
      </w:r>
      <w:r>
        <w:rPr>
          <w:rFonts w:cs="Times New Roman"/>
        </w:rPr>
        <w:t>s</w:t>
      </w:r>
      <w:r w:rsidR="00692500">
        <w:rPr>
          <w:rFonts w:cs="Times New Roman"/>
        </w:rPr>
        <w:t>’</w:t>
      </w:r>
      <w:r>
        <w:rPr>
          <w:rFonts w:cs="Times New Roman"/>
        </w:rPr>
        <w:t xml:space="preserve"> acceptability and efficacy for </w:t>
      </w:r>
      <w:r w:rsidR="00B52838">
        <w:rPr>
          <w:rFonts w:cs="Times New Roman"/>
        </w:rPr>
        <w:t xml:space="preserve">conducting park audits and for </w:t>
      </w:r>
      <w:r>
        <w:rPr>
          <w:rFonts w:cs="Times New Roman"/>
        </w:rPr>
        <w:t>using the new eCPAT app.</w:t>
      </w:r>
    </w:p>
    <w:p w:rsidR="007516CB" w:rsidRPr="004A4E68" w:rsidRDefault="00144540" w:rsidP="004A4E68">
      <w:pPr>
        <w:spacing w:after="120" w:line="240" w:lineRule="auto"/>
        <w:rPr>
          <w:b/>
        </w:rPr>
      </w:pPr>
      <w:r>
        <w:rPr>
          <w:b/>
        </w:rPr>
        <w:t>Study Funding Source</w:t>
      </w:r>
    </w:p>
    <w:p w:rsidR="007516CB" w:rsidRPr="007516CB" w:rsidRDefault="007516CB" w:rsidP="005118B5">
      <w:pPr>
        <w:spacing w:after="120" w:line="240" w:lineRule="auto"/>
      </w:pPr>
      <w:r>
        <w:t>South Carolina Clinical and Translational Research Institute</w:t>
      </w:r>
    </w:p>
    <w:p w:rsidR="00367612" w:rsidRPr="00367612" w:rsidRDefault="00367612" w:rsidP="005118B5">
      <w:pPr>
        <w:spacing w:after="120" w:line="240" w:lineRule="auto"/>
      </w:pPr>
    </w:p>
    <w:sectPr w:rsidR="00367612" w:rsidRPr="00367612" w:rsidSect="00DD474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62DA"/>
    <w:multiLevelType w:val="hybridMultilevel"/>
    <w:tmpl w:val="3756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60253"/>
    <w:multiLevelType w:val="hybridMultilevel"/>
    <w:tmpl w:val="0510BB00"/>
    <w:lvl w:ilvl="0" w:tplc="ACBE9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1C370C"/>
    <w:multiLevelType w:val="hybridMultilevel"/>
    <w:tmpl w:val="7F6AA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12"/>
    <w:rsid w:val="00037266"/>
    <w:rsid w:val="0003787F"/>
    <w:rsid w:val="000F0280"/>
    <w:rsid w:val="00142916"/>
    <w:rsid w:val="00144540"/>
    <w:rsid w:val="001B1382"/>
    <w:rsid w:val="001D6EF3"/>
    <w:rsid w:val="001E245F"/>
    <w:rsid w:val="00246AD3"/>
    <w:rsid w:val="00263C71"/>
    <w:rsid w:val="0026439A"/>
    <w:rsid w:val="0032449D"/>
    <w:rsid w:val="00353BCC"/>
    <w:rsid w:val="00367612"/>
    <w:rsid w:val="003953DA"/>
    <w:rsid w:val="003B7370"/>
    <w:rsid w:val="00481581"/>
    <w:rsid w:val="004A4E68"/>
    <w:rsid w:val="004D458A"/>
    <w:rsid w:val="005118B5"/>
    <w:rsid w:val="00564C58"/>
    <w:rsid w:val="005A30B0"/>
    <w:rsid w:val="00666B66"/>
    <w:rsid w:val="00692500"/>
    <w:rsid w:val="006B1F4D"/>
    <w:rsid w:val="006D2028"/>
    <w:rsid w:val="007516CB"/>
    <w:rsid w:val="00773604"/>
    <w:rsid w:val="008D6ECB"/>
    <w:rsid w:val="00A3658B"/>
    <w:rsid w:val="00B3192C"/>
    <w:rsid w:val="00B52838"/>
    <w:rsid w:val="00B64D32"/>
    <w:rsid w:val="00BB02E7"/>
    <w:rsid w:val="00D168B4"/>
    <w:rsid w:val="00DD4740"/>
    <w:rsid w:val="00DE1E8C"/>
    <w:rsid w:val="00E77BFA"/>
    <w:rsid w:val="00F1402F"/>
    <w:rsid w:val="00F65C2F"/>
    <w:rsid w:val="00FA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6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16CB"/>
    <w:pPr>
      <w:ind w:left="720"/>
      <w:contextualSpacing/>
    </w:pPr>
  </w:style>
  <w:style w:type="table" w:styleId="TableGrid">
    <w:name w:val="Table Grid"/>
    <w:basedOn w:val="TableNormal"/>
    <w:uiPriority w:val="59"/>
    <w:rsid w:val="007516CB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6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16CB"/>
    <w:pPr>
      <w:ind w:left="720"/>
      <w:contextualSpacing/>
    </w:pPr>
  </w:style>
  <w:style w:type="table" w:styleId="TableGrid">
    <w:name w:val="Table Grid"/>
    <w:basedOn w:val="TableNormal"/>
    <w:uiPriority w:val="59"/>
    <w:rsid w:val="007516CB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1.jpg@01CE5D19.FDC0F5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Besenyi</dc:creator>
  <cp:lastModifiedBy>Morgan Hughey</cp:lastModifiedBy>
  <cp:revision>2</cp:revision>
  <dcterms:created xsi:type="dcterms:W3CDTF">2014-03-28T14:07:00Z</dcterms:created>
  <dcterms:modified xsi:type="dcterms:W3CDTF">2014-03-28T14:07:00Z</dcterms:modified>
</cp:coreProperties>
</file>