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CB" w:rsidRPr="00A87960" w:rsidRDefault="00A3053E" w:rsidP="005118B5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87960">
        <w:rPr>
          <w:b/>
          <w:sz w:val="24"/>
          <w:szCs w:val="24"/>
        </w:rPr>
        <w:t>Parks, Environmental Justice, and Childhood Obesity in Greenville</w:t>
      </w:r>
      <w:r w:rsidR="00871EDD">
        <w:rPr>
          <w:b/>
          <w:sz w:val="24"/>
          <w:szCs w:val="24"/>
        </w:rPr>
        <w:t xml:space="preserve"> County</w:t>
      </w:r>
      <w:r w:rsidRPr="00A87960">
        <w:rPr>
          <w:b/>
          <w:sz w:val="24"/>
          <w:szCs w:val="24"/>
        </w:rPr>
        <w:t>, SC</w:t>
      </w:r>
    </w:p>
    <w:p w:rsidR="005118B5" w:rsidRDefault="005118B5" w:rsidP="005118B5">
      <w:pPr>
        <w:spacing w:after="120" w:line="240" w:lineRule="auto"/>
        <w:jc w:val="center"/>
        <w:rPr>
          <w:b/>
        </w:rPr>
      </w:pPr>
    </w:p>
    <w:p w:rsidR="005118B5" w:rsidRDefault="005118B5" w:rsidP="001E245F">
      <w:pPr>
        <w:spacing w:after="120" w:line="240" w:lineRule="auto"/>
        <w:rPr>
          <w:b/>
        </w:rPr>
      </w:pPr>
      <w:r>
        <w:rPr>
          <w:b/>
        </w:rPr>
        <w:t>Academic Study Team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2"/>
      </w:tblGrid>
      <w:tr w:rsidR="003830D8" w:rsidTr="00243C90">
        <w:trPr>
          <w:trHeight w:val="20"/>
        </w:trPr>
        <w:tc>
          <w:tcPr>
            <w:tcW w:w="5382" w:type="dxa"/>
            <w:shd w:val="clear" w:color="auto" w:fill="auto"/>
          </w:tcPr>
          <w:p w:rsidR="003830D8" w:rsidRPr="00243C90" w:rsidRDefault="003830D8" w:rsidP="006A5497">
            <w:pPr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>Andrew Kaczynski, University of South Carolina</w:t>
            </w:r>
          </w:p>
        </w:tc>
        <w:tc>
          <w:tcPr>
            <w:tcW w:w="5382" w:type="dxa"/>
          </w:tcPr>
          <w:p w:rsidR="003830D8" w:rsidRPr="00243C90" w:rsidRDefault="003830D8" w:rsidP="006A5497">
            <w:pPr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>Alicia Powers, Furman University</w:t>
            </w:r>
          </w:p>
        </w:tc>
      </w:tr>
      <w:tr w:rsidR="003830D8" w:rsidTr="00243C90">
        <w:trPr>
          <w:trHeight w:val="20"/>
        </w:trPr>
        <w:tc>
          <w:tcPr>
            <w:tcW w:w="5382" w:type="dxa"/>
          </w:tcPr>
          <w:p w:rsidR="003830D8" w:rsidRPr="00243C90" w:rsidRDefault="003830D8" w:rsidP="006A5497">
            <w:pPr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 xml:space="preserve">Justin B. Moore, </w:t>
            </w:r>
            <w:r w:rsidR="00243C90" w:rsidRPr="00243C90">
              <w:rPr>
                <w:rFonts w:asciiTheme="minorHAnsi" w:hAnsiTheme="minorHAnsi"/>
              </w:rPr>
              <w:t>University of South Carolina</w:t>
            </w:r>
          </w:p>
        </w:tc>
        <w:tc>
          <w:tcPr>
            <w:tcW w:w="5382" w:type="dxa"/>
          </w:tcPr>
          <w:p w:rsidR="003830D8" w:rsidRPr="00243C90" w:rsidRDefault="003830D8" w:rsidP="006A5497">
            <w:pPr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>Julian Reed, Furman University</w:t>
            </w:r>
          </w:p>
        </w:tc>
      </w:tr>
      <w:tr w:rsidR="003830D8" w:rsidTr="00243C90">
        <w:trPr>
          <w:trHeight w:val="20"/>
        </w:trPr>
        <w:tc>
          <w:tcPr>
            <w:tcW w:w="5382" w:type="dxa"/>
          </w:tcPr>
          <w:p w:rsidR="003830D8" w:rsidRPr="00243C90" w:rsidRDefault="003830D8" w:rsidP="006A5497">
            <w:pPr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>Russell R. Pate,</w:t>
            </w:r>
            <w:r w:rsidR="00243C90" w:rsidRPr="00243C90">
              <w:rPr>
                <w:rFonts w:asciiTheme="minorHAnsi" w:hAnsiTheme="minorHAnsi"/>
              </w:rPr>
              <w:t xml:space="preserve"> University of South Carolina</w:t>
            </w:r>
            <w:r w:rsidRPr="00243C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2" w:type="dxa"/>
          </w:tcPr>
          <w:p w:rsidR="003830D8" w:rsidRPr="00243C90" w:rsidRDefault="00243C90" w:rsidP="006A5497">
            <w:pPr>
              <w:pStyle w:val="NoSpacing"/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 xml:space="preserve">James </w:t>
            </w:r>
            <w:proofErr w:type="spellStart"/>
            <w:r w:rsidRPr="00243C90">
              <w:rPr>
                <w:rFonts w:asciiTheme="minorHAnsi" w:hAnsiTheme="minorHAnsi"/>
              </w:rPr>
              <w:t>Hibbert</w:t>
            </w:r>
            <w:proofErr w:type="spellEnd"/>
            <w:r w:rsidRPr="00243C90">
              <w:rPr>
                <w:rFonts w:asciiTheme="minorHAnsi" w:hAnsiTheme="minorHAnsi"/>
              </w:rPr>
              <w:t xml:space="preserve">, University of South Carolina </w:t>
            </w:r>
          </w:p>
        </w:tc>
      </w:tr>
      <w:tr w:rsidR="00243C90" w:rsidTr="00243C90">
        <w:trPr>
          <w:trHeight w:val="20"/>
        </w:trPr>
        <w:tc>
          <w:tcPr>
            <w:tcW w:w="5382" w:type="dxa"/>
          </w:tcPr>
          <w:p w:rsidR="00243C90" w:rsidRPr="00243C90" w:rsidRDefault="00243C90" w:rsidP="006A5497">
            <w:pPr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 xml:space="preserve">Dwayne E. Porter, University of South Carolina </w:t>
            </w:r>
          </w:p>
        </w:tc>
        <w:tc>
          <w:tcPr>
            <w:tcW w:w="5382" w:type="dxa"/>
          </w:tcPr>
          <w:p w:rsidR="00243C90" w:rsidRPr="00243C90" w:rsidRDefault="00243C90" w:rsidP="006A5497">
            <w:pPr>
              <w:pStyle w:val="NoSpacing"/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>Morgan Hughey, University of South Carolina</w:t>
            </w:r>
          </w:p>
        </w:tc>
      </w:tr>
      <w:tr w:rsidR="00243C90" w:rsidTr="00243C90">
        <w:trPr>
          <w:trHeight w:val="20"/>
        </w:trPr>
        <w:tc>
          <w:tcPr>
            <w:tcW w:w="5382" w:type="dxa"/>
          </w:tcPr>
          <w:p w:rsidR="00243C90" w:rsidRPr="00243C90" w:rsidRDefault="00243C90" w:rsidP="006A5497">
            <w:pPr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 xml:space="preserve">Angela D. </w:t>
            </w:r>
            <w:proofErr w:type="spellStart"/>
            <w:r w:rsidRPr="00243C90">
              <w:rPr>
                <w:rFonts w:asciiTheme="minorHAnsi" w:hAnsiTheme="minorHAnsi"/>
              </w:rPr>
              <w:t>Liese</w:t>
            </w:r>
            <w:proofErr w:type="spellEnd"/>
            <w:r w:rsidRPr="00243C90">
              <w:rPr>
                <w:rFonts w:asciiTheme="minorHAnsi" w:hAnsiTheme="minorHAnsi"/>
              </w:rPr>
              <w:t>, University of South Carolina</w:t>
            </w:r>
          </w:p>
        </w:tc>
        <w:tc>
          <w:tcPr>
            <w:tcW w:w="5382" w:type="dxa"/>
          </w:tcPr>
          <w:p w:rsidR="00243C90" w:rsidRPr="00243C90" w:rsidRDefault="00243C90" w:rsidP="006A5497">
            <w:pPr>
              <w:pStyle w:val="NoSpacing"/>
              <w:rPr>
                <w:rFonts w:asciiTheme="minorHAnsi" w:hAnsiTheme="minorHAnsi"/>
              </w:rPr>
            </w:pPr>
            <w:r w:rsidRPr="00243C90">
              <w:rPr>
                <w:rFonts w:asciiTheme="minorHAnsi" w:hAnsiTheme="minorHAnsi"/>
              </w:rPr>
              <w:t xml:space="preserve">Gina Besenyi, University of South Carolina </w:t>
            </w:r>
          </w:p>
        </w:tc>
      </w:tr>
    </w:tbl>
    <w:p w:rsidR="0043246D" w:rsidRDefault="0043246D" w:rsidP="0043246D">
      <w:pPr>
        <w:pStyle w:val="NoSpacing"/>
      </w:pPr>
    </w:p>
    <w:p w:rsidR="0026439A" w:rsidRPr="001E245F" w:rsidRDefault="0026439A" w:rsidP="001E245F">
      <w:pPr>
        <w:spacing w:after="120" w:line="240" w:lineRule="auto"/>
      </w:pPr>
      <w:r>
        <w:rPr>
          <w:b/>
        </w:rPr>
        <w:t>Community Study Team Members:</w:t>
      </w:r>
    </w:p>
    <w:p w:rsidR="0026439A" w:rsidRDefault="0026439A" w:rsidP="0043246D">
      <w:pPr>
        <w:pStyle w:val="NoSpacing"/>
      </w:pPr>
      <w:r>
        <w:t xml:space="preserve">Sally Wills, </w:t>
      </w:r>
      <w:proofErr w:type="spellStart"/>
      <w:r>
        <w:t>LiveWell</w:t>
      </w:r>
      <w:proofErr w:type="spellEnd"/>
      <w:r>
        <w:t xml:space="preserve"> Greenville</w:t>
      </w:r>
    </w:p>
    <w:p w:rsidR="0043246D" w:rsidRDefault="0043246D" w:rsidP="0043246D">
      <w:pPr>
        <w:pStyle w:val="NoSpacing"/>
      </w:pPr>
      <w:r>
        <w:t>Dana Souza, City of Greenville Parks and Recreation Department</w:t>
      </w:r>
    </w:p>
    <w:p w:rsidR="0043246D" w:rsidRDefault="0043246D" w:rsidP="0043246D">
      <w:pPr>
        <w:pStyle w:val="NoSpacing"/>
      </w:pPr>
      <w:r>
        <w:t>Pam Davis, City of Greenville Parks and Recreation Department</w:t>
      </w:r>
    </w:p>
    <w:p w:rsidR="00243C90" w:rsidRPr="00243C90" w:rsidRDefault="0026439A" w:rsidP="0043246D">
      <w:pPr>
        <w:pStyle w:val="NoSpacing"/>
      </w:pPr>
      <w:r>
        <w:t xml:space="preserve">Mike </w:t>
      </w:r>
      <w:proofErr w:type="spellStart"/>
      <w:r>
        <w:t>Teachey</w:t>
      </w:r>
      <w:proofErr w:type="spellEnd"/>
      <w:r>
        <w:t xml:space="preserve">, </w:t>
      </w:r>
      <w:r w:rsidR="00243C90" w:rsidRPr="00243C90">
        <w:t xml:space="preserve">Greenville County Parks, Recreation, &amp; Tourism </w:t>
      </w:r>
    </w:p>
    <w:p w:rsidR="0026439A" w:rsidRPr="00243C90" w:rsidRDefault="0026439A" w:rsidP="0043246D">
      <w:pPr>
        <w:pStyle w:val="NoSpacing"/>
      </w:pPr>
      <w:r w:rsidRPr="00243C90">
        <w:t xml:space="preserve">Paul Ellis, </w:t>
      </w:r>
      <w:r w:rsidR="00243C90" w:rsidRPr="00243C90">
        <w:t>Greenville County Parks, Recreation, &amp; Tourism</w:t>
      </w:r>
    </w:p>
    <w:p w:rsidR="0043246D" w:rsidRDefault="0043246D" w:rsidP="0043246D">
      <w:pPr>
        <w:pStyle w:val="NoSpacing"/>
      </w:pPr>
    </w:p>
    <w:p w:rsidR="00367612" w:rsidRPr="0026439A" w:rsidRDefault="0026439A" w:rsidP="001E245F">
      <w:pPr>
        <w:spacing w:after="120" w:line="240" w:lineRule="auto"/>
      </w:pPr>
      <w:r>
        <w:rPr>
          <w:b/>
        </w:rPr>
        <w:t>S</w:t>
      </w:r>
      <w:r w:rsidR="00367612" w:rsidRPr="00DE1E8C">
        <w:rPr>
          <w:b/>
        </w:rPr>
        <w:t xml:space="preserve">tudy Background </w:t>
      </w:r>
    </w:p>
    <w:p w:rsidR="0043246D" w:rsidRDefault="009C4004" w:rsidP="0043246D">
      <w:pPr>
        <w:spacing w:after="240" w:line="240" w:lineRule="auto"/>
      </w:pPr>
      <w:r>
        <w:t xml:space="preserve">Obesity rates in South Carolina are among some of the highest in the United States, increasing the personal and societal burden from related chronic diseases and expanding health care costs. </w:t>
      </w:r>
      <w:r w:rsidR="00B51067">
        <w:t xml:space="preserve">The design of neighborhoods and communities is now recognized as a key determinant of a variety of health behaviors </w:t>
      </w:r>
      <w:r>
        <w:t>that contribute to obesity</w:t>
      </w:r>
      <w:r w:rsidR="0032449D" w:rsidRPr="00B51067">
        <w:t>.</w:t>
      </w:r>
      <w:r w:rsidR="00367612" w:rsidRPr="00B51067">
        <w:t xml:space="preserve"> </w:t>
      </w:r>
      <w:r>
        <w:t>Within this broader perspective, p</w:t>
      </w:r>
      <w:r w:rsidR="0043246D" w:rsidRPr="00B51067">
        <w:t xml:space="preserve">arks are </w:t>
      </w:r>
      <w:r>
        <w:t>acknowledged</w:t>
      </w:r>
      <w:r w:rsidR="0043246D" w:rsidRPr="00B51067">
        <w:t xml:space="preserve"> as key community assets for promoting physical activity and health, especially among youth and </w:t>
      </w:r>
      <w:r>
        <w:t xml:space="preserve">especially </w:t>
      </w:r>
      <w:r w:rsidR="0043246D" w:rsidRPr="00B51067">
        <w:t>within lower income neighborhoods that may lack other personal and environmental resources for participating in healthy behaviors. However, to support the development</w:t>
      </w:r>
      <w:r w:rsidR="0043246D">
        <w:t xml:space="preserve"> of a comprehensive strategy for addressing obesity through parks, </w:t>
      </w:r>
      <w:r>
        <w:t>detailed</w:t>
      </w:r>
      <w:r w:rsidR="0043246D">
        <w:t xml:space="preserve"> information is needed about </w:t>
      </w:r>
      <w:r w:rsidR="00CF1004">
        <w:t xml:space="preserve">a) </w:t>
      </w:r>
      <w:r w:rsidR="0043246D">
        <w:t xml:space="preserve">the current state of resources in communities and </w:t>
      </w:r>
      <w:r w:rsidR="00CF1004">
        <w:t xml:space="preserve">b) </w:t>
      </w:r>
      <w:r w:rsidR="0043246D">
        <w:t xml:space="preserve">the impact these open spaces are having on youth physical activity participation, obesity rates, and overall health. </w:t>
      </w:r>
    </w:p>
    <w:p w:rsidR="007516CB" w:rsidRDefault="0043246D" w:rsidP="005118B5">
      <w:pPr>
        <w:spacing w:after="120" w:line="240" w:lineRule="auto"/>
        <w:rPr>
          <w:b/>
        </w:rPr>
      </w:pPr>
      <w:r>
        <w:rPr>
          <w:b/>
        </w:rPr>
        <w:t>Study Objectives</w:t>
      </w:r>
    </w:p>
    <w:p w:rsidR="00B51067" w:rsidRPr="00B51067" w:rsidRDefault="00B51067" w:rsidP="005118B5">
      <w:pPr>
        <w:spacing w:after="120" w:line="240" w:lineRule="auto"/>
        <w:rPr>
          <w:rFonts w:cs="Times New Roman"/>
        </w:rPr>
      </w:pPr>
      <w:r w:rsidRPr="00B51067">
        <w:t xml:space="preserve">The two </w:t>
      </w:r>
      <w:r>
        <w:t>related</w:t>
      </w:r>
      <w:r w:rsidRPr="00B51067">
        <w:t xml:space="preserve"> objectives of this study are:</w:t>
      </w:r>
    </w:p>
    <w:p w:rsidR="0043246D" w:rsidRDefault="0043246D" w:rsidP="0043246D">
      <w:pPr>
        <w:pStyle w:val="NoSpacing"/>
        <w:numPr>
          <w:ilvl w:val="0"/>
          <w:numId w:val="4"/>
        </w:numPr>
        <w:ind w:left="360"/>
      </w:pPr>
      <w:r w:rsidRPr="000C272B">
        <w:t xml:space="preserve">To examine whether the availability, features, and quality of parks are equitably distributed across </w:t>
      </w:r>
      <w:r w:rsidR="004231DE">
        <w:t>Greenville County</w:t>
      </w:r>
      <w:r w:rsidR="00871EDD">
        <w:t xml:space="preserve"> </w:t>
      </w:r>
      <w:r w:rsidRPr="000C272B">
        <w:t>according to a variety of demographic indicators (income, race/ethnicity, education level, youth population, etc.).</w:t>
      </w:r>
    </w:p>
    <w:p w:rsidR="0043246D" w:rsidRPr="004C08C6" w:rsidRDefault="0043246D" w:rsidP="0043246D">
      <w:pPr>
        <w:pStyle w:val="NoSpacing"/>
        <w:ind w:left="360" w:hanging="360"/>
        <w:rPr>
          <w:sz w:val="8"/>
          <w:szCs w:val="8"/>
        </w:rPr>
      </w:pPr>
    </w:p>
    <w:p w:rsidR="0043246D" w:rsidRPr="000C272B" w:rsidRDefault="0043246D" w:rsidP="0043246D">
      <w:pPr>
        <w:pStyle w:val="NoSpacing"/>
        <w:numPr>
          <w:ilvl w:val="0"/>
          <w:numId w:val="4"/>
        </w:numPr>
        <w:ind w:left="360"/>
      </w:pPr>
      <w:r w:rsidRPr="000C272B">
        <w:t>To examine the relationship between park availability, features, and quality and obesity levels among youth</w:t>
      </w:r>
      <w:r w:rsidR="00CF1004">
        <w:t xml:space="preserve"> in </w:t>
      </w:r>
      <w:r w:rsidR="004231DE">
        <w:t>Greenville County</w:t>
      </w:r>
      <w:r w:rsidRPr="000C272B">
        <w:t xml:space="preserve">. </w:t>
      </w:r>
    </w:p>
    <w:p w:rsidR="00DD4740" w:rsidRDefault="00DD4740" w:rsidP="00B51067">
      <w:pPr>
        <w:pStyle w:val="NoSpacing"/>
      </w:pPr>
    </w:p>
    <w:p w:rsidR="00CF1004" w:rsidRPr="004A4E68" w:rsidRDefault="00CF1004" w:rsidP="00CF1004">
      <w:pPr>
        <w:pStyle w:val="NoSpacing"/>
        <w:spacing w:after="120"/>
        <w:ind w:left="1440" w:hanging="1440"/>
        <w:rPr>
          <w:rFonts w:cs="Times New Roman"/>
        </w:rPr>
      </w:pPr>
      <w:r w:rsidRPr="007516CB">
        <w:rPr>
          <w:rFonts w:cs="Times New Roman"/>
          <w:b/>
        </w:rPr>
        <w:t>Study Setting</w:t>
      </w:r>
    </w:p>
    <w:p w:rsidR="00724E75" w:rsidRPr="00724E75" w:rsidRDefault="00CF1004" w:rsidP="00243C90">
      <w:pPr>
        <w:pStyle w:val="NoSpacing"/>
        <w:numPr>
          <w:ilvl w:val="0"/>
          <w:numId w:val="1"/>
        </w:numPr>
        <w:spacing w:after="120"/>
        <w:ind w:left="540" w:hanging="270"/>
        <w:rPr>
          <w:b/>
        </w:rPr>
      </w:pPr>
      <w:r w:rsidRPr="002848BC">
        <w:rPr>
          <w:rFonts w:cs="Times New Roman"/>
        </w:rPr>
        <w:t>This study will take place in</w:t>
      </w:r>
      <w:r w:rsidR="002848BC" w:rsidRPr="002848BC">
        <w:rPr>
          <w:rFonts w:cs="Times New Roman"/>
        </w:rPr>
        <w:t xml:space="preserve"> Greenville County, which includes the City of Greenville and four </w:t>
      </w:r>
      <w:r w:rsidR="00871EDD">
        <w:rPr>
          <w:rFonts w:cs="Times New Roman"/>
        </w:rPr>
        <w:t xml:space="preserve">other </w:t>
      </w:r>
      <w:r w:rsidR="002848BC" w:rsidRPr="002848BC">
        <w:rPr>
          <w:rFonts w:cs="Times New Roman"/>
        </w:rPr>
        <w:t xml:space="preserve">municipalities (Fountain Inn, Greer, Mauldin, </w:t>
      </w:r>
      <w:proofErr w:type="gramStart"/>
      <w:r w:rsidR="002848BC" w:rsidRPr="002848BC">
        <w:rPr>
          <w:rFonts w:cs="Times New Roman"/>
        </w:rPr>
        <w:t>Simpsonville</w:t>
      </w:r>
      <w:proofErr w:type="gramEnd"/>
      <w:r w:rsidR="002848BC" w:rsidRPr="002848BC">
        <w:rPr>
          <w:rFonts w:cs="Times New Roman"/>
        </w:rPr>
        <w:t xml:space="preserve">). </w:t>
      </w:r>
      <w:r w:rsidRPr="004231DE">
        <w:rPr>
          <w:rFonts w:cs="Times New Roman"/>
        </w:rPr>
        <w:t xml:space="preserve"> </w:t>
      </w:r>
    </w:p>
    <w:p w:rsidR="00724E75" w:rsidRDefault="00724E75" w:rsidP="00724E75">
      <w:pPr>
        <w:pStyle w:val="NoSpacing"/>
        <w:spacing w:after="120"/>
        <w:rPr>
          <w:rFonts w:cs="Times New Roman"/>
        </w:rPr>
      </w:pPr>
    </w:p>
    <w:p w:rsidR="00724E75" w:rsidRDefault="00724E75" w:rsidP="00724E75">
      <w:pPr>
        <w:pStyle w:val="NoSpacing"/>
        <w:spacing w:after="120"/>
        <w:rPr>
          <w:rFonts w:cs="Times New Roman"/>
        </w:rPr>
      </w:pPr>
    </w:p>
    <w:p w:rsidR="00724E75" w:rsidRDefault="00724E75" w:rsidP="00724E75">
      <w:pPr>
        <w:pStyle w:val="NoSpacing"/>
        <w:spacing w:after="120"/>
        <w:rPr>
          <w:rFonts w:cs="Times New Roman"/>
        </w:rPr>
      </w:pPr>
    </w:p>
    <w:p w:rsidR="00724E75" w:rsidRPr="00724E75" w:rsidRDefault="00724E75" w:rsidP="00724E75">
      <w:pPr>
        <w:pStyle w:val="NoSpacing"/>
        <w:spacing w:after="120"/>
        <w:rPr>
          <w:b/>
        </w:rPr>
      </w:pPr>
      <w:r w:rsidRPr="00243C90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318BC18" wp14:editId="06F49F64">
            <wp:simplePos x="0" y="0"/>
            <wp:positionH relativeFrom="column">
              <wp:posOffset>4116705</wp:posOffset>
            </wp:positionH>
            <wp:positionV relativeFrom="paragraph">
              <wp:posOffset>247650</wp:posOffset>
            </wp:positionV>
            <wp:extent cx="1181100" cy="718185"/>
            <wp:effectExtent l="0" t="0" r="0" b="5715"/>
            <wp:wrapThrough wrapText="bothSides">
              <wp:wrapPolygon edited="0">
                <wp:start x="18813" y="0"/>
                <wp:lineTo x="0" y="4011"/>
                <wp:lineTo x="0" y="18334"/>
                <wp:lineTo x="5574" y="18334"/>
                <wp:lineTo x="5226" y="21199"/>
                <wp:lineTo x="8013" y="21199"/>
                <wp:lineTo x="15677" y="21199"/>
                <wp:lineTo x="18116" y="20626"/>
                <wp:lineTo x="17768" y="18334"/>
                <wp:lineTo x="21252" y="14897"/>
                <wp:lineTo x="21252" y="0"/>
                <wp:lineTo x="1881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greenvil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237" w:rsidRPr="002848BC" w:rsidRDefault="00834A13" w:rsidP="00724E75">
      <w:pPr>
        <w:pStyle w:val="NoSpacing"/>
        <w:spacing w:after="120"/>
        <w:ind w:left="270"/>
        <w:rPr>
          <w:b/>
        </w:rPr>
      </w:pPr>
      <w:r w:rsidRPr="00243C9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364BCE" wp14:editId="2606D489">
            <wp:simplePos x="0" y="0"/>
            <wp:positionH relativeFrom="column">
              <wp:posOffset>-304800</wp:posOffset>
            </wp:positionH>
            <wp:positionV relativeFrom="paragraph">
              <wp:posOffset>139065</wp:posOffset>
            </wp:positionV>
            <wp:extent cx="1543050" cy="417830"/>
            <wp:effectExtent l="0" t="0" r="0" b="1270"/>
            <wp:wrapThrough wrapText="bothSides">
              <wp:wrapPolygon edited="0">
                <wp:start x="0" y="0"/>
                <wp:lineTo x="0" y="20681"/>
                <wp:lineTo x="21333" y="20681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_Lin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75" w:rsidRPr="001D4237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70CDCF3" wp14:editId="33852CE5">
            <wp:simplePos x="0" y="0"/>
            <wp:positionH relativeFrom="column">
              <wp:posOffset>5377180</wp:posOffset>
            </wp:positionH>
            <wp:positionV relativeFrom="paragraph">
              <wp:posOffset>88265</wp:posOffset>
            </wp:positionV>
            <wp:extent cx="1423035" cy="398145"/>
            <wp:effectExtent l="0" t="0" r="5715" b="1905"/>
            <wp:wrapThrough wrapText="bothSides">
              <wp:wrapPolygon edited="0">
                <wp:start x="0" y="0"/>
                <wp:lineTo x="0" y="20670"/>
                <wp:lineTo x="21398" y="20670"/>
                <wp:lineTo x="21398" y="0"/>
                <wp:lineTo x="0" y="0"/>
              </wp:wrapPolygon>
            </wp:wrapThrough>
            <wp:docPr id="5" name="Picture 5" descr="COG_Color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_Color_Sid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75">
        <w:rPr>
          <w:noProof/>
        </w:rPr>
        <w:drawing>
          <wp:inline distT="0" distB="0" distL="0" distR="0" wp14:anchorId="17182622" wp14:editId="147BB122">
            <wp:extent cx="1247775" cy="4046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60" cy="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E75" w:rsidRPr="00243C90">
        <w:rPr>
          <w:b/>
          <w:noProof/>
          <w:color w:val="0000FF"/>
        </w:rPr>
        <w:drawing>
          <wp:anchor distT="0" distB="0" distL="114300" distR="114300" simplePos="0" relativeHeight="251658239" behindDoc="1" locked="0" layoutInCell="1" allowOverlap="1" wp14:anchorId="68472377" wp14:editId="0C287C54">
            <wp:simplePos x="0" y="0"/>
            <wp:positionH relativeFrom="column">
              <wp:posOffset>1241425</wp:posOffset>
            </wp:positionH>
            <wp:positionV relativeFrom="paragraph">
              <wp:posOffset>73660</wp:posOffset>
            </wp:positionV>
            <wp:extent cx="1339215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1201" y="21089"/>
                <wp:lineTo x="21201" y="0"/>
                <wp:lineTo x="0" y="0"/>
              </wp:wrapPolygon>
            </wp:wrapThrough>
            <wp:docPr id="2" name="irc_mi" descr="http://www2.furman.edu/academics/MilitaryScience/Documents/furman%20log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furman.edu/academics/MilitaryScience/Documents/furman%20log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37" w:rsidRPr="002848BC">
        <w:rPr>
          <w:b/>
        </w:rPr>
        <w:br w:type="page"/>
      </w:r>
    </w:p>
    <w:p w:rsidR="00DD4740" w:rsidRDefault="0043246D" w:rsidP="005118B5">
      <w:pPr>
        <w:spacing w:after="120" w:line="240" w:lineRule="auto"/>
        <w:rPr>
          <w:b/>
        </w:rPr>
      </w:pPr>
      <w:r>
        <w:rPr>
          <w:b/>
        </w:rPr>
        <w:lastRenderedPageBreak/>
        <w:t>Study Methods</w:t>
      </w:r>
    </w:p>
    <w:p w:rsidR="0043246D" w:rsidRDefault="0043246D" w:rsidP="0043246D">
      <w:pPr>
        <w:pStyle w:val="NoSpacing"/>
        <w:rPr>
          <w:rFonts w:cs="Times New Roman"/>
        </w:rPr>
      </w:pPr>
      <w:r>
        <w:rPr>
          <w:rFonts w:cs="Times New Roman"/>
        </w:rPr>
        <w:t>To accomplish objective 1, we</w:t>
      </w:r>
      <w:r w:rsidRPr="000E667F">
        <w:rPr>
          <w:rFonts w:cs="Times New Roman"/>
        </w:rPr>
        <w:t xml:space="preserve"> will combine geographic mapping of </w:t>
      </w:r>
      <w:r w:rsidR="002848BC">
        <w:rPr>
          <w:rFonts w:cs="Times New Roman"/>
        </w:rPr>
        <w:t xml:space="preserve">all </w:t>
      </w:r>
      <w:r w:rsidR="00871EDD">
        <w:rPr>
          <w:rFonts w:cs="Times New Roman"/>
        </w:rPr>
        <w:t xml:space="preserve">public </w:t>
      </w:r>
      <w:r w:rsidR="002848BC">
        <w:rPr>
          <w:rFonts w:cs="Times New Roman"/>
        </w:rPr>
        <w:t>parks in Greenville County</w:t>
      </w:r>
      <w:r w:rsidRPr="000E667F">
        <w:rPr>
          <w:rFonts w:cs="Times New Roman"/>
        </w:rPr>
        <w:t xml:space="preserve"> and observational audits of all parks to examine the equitability of access to quality park environments across </w:t>
      </w:r>
      <w:r>
        <w:rPr>
          <w:rFonts w:cs="Times New Roman"/>
        </w:rPr>
        <w:t xml:space="preserve">the </w:t>
      </w:r>
      <w:r w:rsidR="00B51067">
        <w:rPr>
          <w:rFonts w:cs="Times New Roman"/>
        </w:rPr>
        <w:t>greater</w:t>
      </w:r>
      <w:r>
        <w:rPr>
          <w:rFonts w:cs="Times New Roman"/>
        </w:rPr>
        <w:t xml:space="preserve"> Greenville</w:t>
      </w:r>
      <w:r w:rsidR="00B51067">
        <w:rPr>
          <w:rFonts w:cs="Times New Roman"/>
        </w:rPr>
        <w:t xml:space="preserve"> area</w:t>
      </w:r>
      <w:r>
        <w:rPr>
          <w:rFonts w:cs="Times New Roman"/>
        </w:rPr>
        <w:t>.</w:t>
      </w:r>
      <w:r w:rsidRPr="000E667F">
        <w:rPr>
          <w:rFonts w:cs="Times New Roman"/>
        </w:rPr>
        <w:t xml:space="preserve"> </w:t>
      </w:r>
      <w:r>
        <w:rPr>
          <w:rFonts w:cs="Times New Roman"/>
        </w:rPr>
        <w:t>Specifically, the following steps will be undertaken:</w:t>
      </w:r>
    </w:p>
    <w:p w:rsidR="0043246D" w:rsidRDefault="0043246D" w:rsidP="0043246D">
      <w:pPr>
        <w:pStyle w:val="NoSpacing"/>
        <w:numPr>
          <w:ilvl w:val="0"/>
          <w:numId w:val="5"/>
        </w:numPr>
        <w:ind w:left="540" w:hanging="270"/>
        <w:rPr>
          <w:rFonts w:cs="Times New Roman"/>
        </w:rPr>
      </w:pPr>
      <w:r w:rsidRPr="000E667F">
        <w:rPr>
          <w:rFonts w:cs="Times New Roman"/>
        </w:rPr>
        <w:t xml:space="preserve">Information about </w:t>
      </w:r>
      <w:r>
        <w:rPr>
          <w:rFonts w:cs="Times New Roman"/>
        </w:rPr>
        <w:t>a variety of demographic characteristics will be downloaded</w:t>
      </w:r>
      <w:r w:rsidRPr="000E667F">
        <w:rPr>
          <w:rFonts w:cs="Times New Roman"/>
        </w:rPr>
        <w:t xml:space="preserve"> for each </w:t>
      </w:r>
      <w:r>
        <w:rPr>
          <w:rFonts w:cs="Times New Roman"/>
        </w:rPr>
        <w:t xml:space="preserve">census </w:t>
      </w:r>
      <w:r w:rsidRPr="000E667F">
        <w:rPr>
          <w:rFonts w:cs="Times New Roman"/>
        </w:rPr>
        <w:t>tract</w:t>
      </w:r>
      <w:r w:rsidR="002848BC">
        <w:rPr>
          <w:rFonts w:cs="Times New Roman"/>
        </w:rPr>
        <w:t xml:space="preserve"> and block group in Greenville County</w:t>
      </w:r>
      <w:r w:rsidRPr="000E667F">
        <w:rPr>
          <w:rFonts w:cs="Times New Roman"/>
        </w:rPr>
        <w:t xml:space="preserve"> </w:t>
      </w:r>
      <w:r>
        <w:rPr>
          <w:rFonts w:cs="Times New Roman"/>
        </w:rPr>
        <w:t>from</w:t>
      </w:r>
      <w:r w:rsidRPr="000E667F">
        <w:rPr>
          <w:rFonts w:cs="Times New Roman"/>
        </w:rPr>
        <w:t xml:space="preserve"> the Ame</w:t>
      </w:r>
      <w:r>
        <w:rPr>
          <w:rFonts w:cs="Times New Roman"/>
        </w:rPr>
        <w:t xml:space="preserve">rican Community Survey website. </w:t>
      </w:r>
    </w:p>
    <w:p w:rsidR="0043246D" w:rsidRDefault="0043246D" w:rsidP="0043246D">
      <w:pPr>
        <w:pStyle w:val="NoSpacing"/>
        <w:numPr>
          <w:ilvl w:val="0"/>
          <w:numId w:val="5"/>
        </w:numPr>
        <w:ind w:left="540" w:hanging="270"/>
        <w:rPr>
          <w:rFonts w:cs="Times New Roman"/>
        </w:rPr>
      </w:pPr>
      <w:r w:rsidRPr="000E667F">
        <w:rPr>
          <w:rFonts w:cs="Times New Roman"/>
        </w:rPr>
        <w:t xml:space="preserve">All parks </w:t>
      </w:r>
      <w:r w:rsidR="00871EDD">
        <w:rPr>
          <w:rFonts w:cs="Times New Roman"/>
        </w:rPr>
        <w:t xml:space="preserve">in </w:t>
      </w:r>
      <w:r w:rsidR="00E41E5C">
        <w:rPr>
          <w:rFonts w:cs="Times New Roman"/>
        </w:rPr>
        <w:t>Greenville</w:t>
      </w:r>
      <w:r w:rsidR="002848BC">
        <w:rPr>
          <w:rFonts w:cs="Times New Roman"/>
        </w:rPr>
        <w:t xml:space="preserve"> County</w:t>
      </w:r>
      <w:r w:rsidRPr="000E667F">
        <w:rPr>
          <w:rFonts w:cs="Times New Roman"/>
        </w:rPr>
        <w:t xml:space="preserve"> will be mapped using geographic information systems (GIS) technology to determine the number </w:t>
      </w:r>
      <w:r>
        <w:rPr>
          <w:rFonts w:cs="Times New Roman"/>
        </w:rPr>
        <w:t xml:space="preserve">and total area </w:t>
      </w:r>
      <w:r w:rsidRPr="000E667F">
        <w:rPr>
          <w:rFonts w:cs="Times New Roman"/>
        </w:rPr>
        <w:t>of parks t</w:t>
      </w:r>
      <w:r>
        <w:rPr>
          <w:rFonts w:cs="Times New Roman"/>
        </w:rPr>
        <w:t>hat intersect each census tract.</w:t>
      </w:r>
      <w:r w:rsidR="002848BC">
        <w:rPr>
          <w:rFonts w:cs="Times New Roman"/>
        </w:rPr>
        <w:t xml:space="preserve"> </w:t>
      </w:r>
    </w:p>
    <w:p w:rsidR="0043246D" w:rsidRDefault="009627A7" w:rsidP="00B51067">
      <w:pPr>
        <w:pStyle w:val="NoSpacing"/>
        <w:numPr>
          <w:ilvl w:val="0"/>
          <w:numId w:val="5"/>
        </w:numPr>
        <w:ind w:left="540" w:right="-540" w:hanging="270"/>
        <w:rPr>
          <w:rFonts w:cs="Times New Roman"/>
        </w:rPr>
      </w:pPr>
      <w:r>
        <w:rPr>
          <w:rFonts w:cs="Times New Roman"/>
        </w:rPr>
        <w:t>On-site audits of all parks will be</w:t>
      </w:r>
      <w:r w:rsidR="0043246D" w:rsidRPr="000E667F">
        <w:rPr>
          <w:rFonts w:cs="Times New Roman"/>
        </w:rPr>
        <w:t xml:space="preserve"> conduct</w:t>
      </w:r>
      <w:r>
        <w:rPr>
          <w:rFonts w:cs="Times New Roman"/>
        </w:rPr>
        <w:t>ed</w:t>
      </w:r>
      <w:r w:rsidR="0043246D" w:rsidRPr="000E667F">
        <w:rPr>
          <w:rFonts w:cs="Times New Roman"/>
        </w:rPr>
        <w:t xml:space="preserve"> using the Community Park Audit Tool (CPAT</w:t>
      </w:r>
      <w:r w:rsidR="0043246D">
        <w:rPr>
          <w:rFonts w:cs="Times New Roman"/>
        </w:rPr>
        <w:t xml:space="preserve">). </w:t>
      </w:r>
    </w:p>
    <w:p w:rsidR="0043246D" w:rsidRPr="00CF1004" w:rsidRDefault="0043246D" w:rsidP="005118B5">
      <w:pPr>
        <w:pStyle w:val="NoSpacing"/>
        <w:numPr>
          <w:ilvl w:val="0"/>
          <w:numId w:val="5"/>
        </w:numPr>
        <w:spacing w:after="120"/>
        <w:ind w:left="540" w:hanging="270"/>
        <w:rPr>
          <w:b/>
        </w:rPr>
      </w:pPr>
      <w:r w:rsidRPr="00B51067">
        <w:rPr>
          <w:rFonts w:cs="Times New Roman"/>
        </w:rPr>
        <w:t>Using the</w:t>
      </w:r>
      <w:r w:rsidR="002848BC">
        <w:rPr>
          <w:rFonts w:cs="Times New Roman"/>
        </w:rPr>
        <w:t xml:space="preserve"> 2008-2012 American Community Survey data</w:t>
      </w:r>
      <w:r w:rsidR="00871EDD">
        <w:rPr>
          <w:rFonts w:cs="Times New Roman"/>
        </w:rPr>
        <w:t xml:space="preserve"> and the </w:t>
      </w:r>
      <w:r w:rsidR="002848BC">
        <w:rPr>
          <w:rFonts w:cs="Times New Roman"/>
        </w:rPr>
        <w:t xml:space="preserve">GIS and CPAT parks </w:t>
      </w:r>
      <w:proofErr w:type="spellStart"/>
      <w:r w:rsidR="002848BC">
        <w:rPr>
          <w:rFonts w:cs="Times New Roman"/>
        </w:rPr>
        <w:t>data</w:t>
      </w:r>
      <w:proofErr w:type="gramStart"/>
      <w:r w:rsidR="002848BC">
        <w:rPr>
          <w:rFonts w:cs="Times New Roman"/>
        </w:rPr>
        <w:t>,</w:t>
      </w:r>
      <w:r w:rsidR="00B51067">
        <w:rPr>
          <w:rFonts w:cs="Times New Roman"/>
        </w:rPr>
        <w:t>a</w:t>
      </w:r>
      <w:proofErr w:type="spellEnd"/>
      <w:proofErr w:type="gramEnd"/>
      <w:r w:rsidR="00B51067">
        <w:rPr>
          <w:rFonts w:cs="Times New Roman"/>
        </w:rPr>
        <w:t xml:space="preserve"> variety of statistical and spatial analyses</w:t>
      </w:r>
      <w:r w:rsidR="009627A7">
        <w:rPr>
          <w:rFonts w:cs="Times New Roman"/>
        </w:rPr>
        <w:t xml:space="preserve"> will be conducted</w:t>
      </w:r>
      <w:r w:rsidR="00B51067">
        <w:rPr>
          <w:rFonts w:cs="Times New Roman"/>
        </w:rPr>
        <w:t xml:space="preserve"> to explore</w:t>
      </w:r>
      <w:r w:rsidR="00B51067" w:rsidRPr="00B51067">
        <w:rPr>
          <w:rFonts w:cs="Times New Roman"/>
        </w:rPr>
        <w:t xml:space="preserve"> the </w:t>
      </w:r>
      <w:r w:rsidR="00A87960">
        <w:rPr>
          <w:rFonts w:cs="Times New Roman"/>
        </w:rPr>
        <w:t xml:space="preserve">distribution of park </w:t>
      </w:r>
      <w:r w:rsidR="00B51067" w:rsidRPr="00B51067">
        <w:rPr>
          <w:rFonts w:cs="Times New Roman"/>
        </w:rPr>
        <w:t xml:space="preserve">availability, </w:t>
      </w:r>
      <w:r w:rsidRPr="00B51067">
        <w:rPr>
          <w:rFonts w:cs="Times New Roman"/>
        </w:rPr>
        <w:t>features, and quality</w:t>
      </w:r>
      <w:r w:rsidR="00B51067" w:rsidRPr="00B51067">
        <w:rPr>
          <w:rFonts w:cs="Times New Roman"/>
        </w:rPr>
        <w:t xml:space="preserve"> </w:t>
      </w:r>
      <w:r w:rsidR="00A87960">
        <w:rPr>
          <w:rFonts w:cs="Times New Roman"/>
        </w:rPr>
        <w:t>across</w:t>
      </w:r>
      <w:r w:rsidR="00B51067" w:rsidRPr="00B51067">
        <w:rPr>
          <w:rFonts w:cs="Times New Roman"/>
        </w:rPr>
        <w:t xml:space="preserve"> diverse census </w:t>
      </w:r>
      <w:r w:rsidR="004231DE">
        <w:rPr>
          <w:rFonts w:cs="Times New Roman"/>
        </w:rPr>
        <w:t>tracts and block groups</w:t>
      </w:r>
      <w:r w:rsidR="00B51067" w:rsidRPr="00B51067">
        <w:rPr>
          <w:rFonts w:cs="Times New Roman"/>
        </w:rPr>
        <w:t xml:space="preserve"> </w:t>
      </w:r>
      <w:r w:rsidR="00A87960">
        <w:rPr>
          <w:rFonts w:cs="Times New Roman"/>
        </w:rPr>
        <w:t>throughout</w:t>
      </w:r>
      <w:r w:rsidR="004231DE">
        <w:rPr>
          <w:rFonts w:cs="Times New Roman"/>
        </w:rPr>
        <w:t xml:space="preserve"> Greenville County</w:t>
      </w:r>
      <w:r w:rsidRPr="00B51067">
        <w:rPr>
          <w:rFonts w:cs="Times New Roman"/>
        </w:rPr>
        <w:t xml:space="preserve">. </w:t>
      </w:r>
    </w:p>
    <w:p w:rsidR="00CF1004" w:rsidRPr="00E41E5C" w:rsidRDefault="00CF1004" w:rsidP="00CF1004">
      <w:pPr>
        <w:pStyle w:val="NoSpacing"/>
        <w:rPr>
          <w:sz w:val="8"/>
          <w:szCs w:val="8"/>
        </w:rPr>
      </w:pPr>
    </w:p>
    <w:p w:rsidR="00B51067" w:rsidRPr="00B51067" w:rsidRDefault="00B51067" w:rsidP="0043246D">
      <w:pPr>
        <w:pStyle w:val="NoSpacing"/>
      </w:pPr>
      <w:r>
        <w:t xml:space="preserve">To accomplish the second study objective, we will combine the park data collected for objective 1 with data on childhood obesity among Greenville </w:t>
      </w:r>
      <w:r w:rsidR="00871EDD">
        <w:t xml:space="preserve">County </w:t>
      </w:r>
      <w:r>
        <w:t>youth to examine the relationship between access to quality park environments and health. Specifically, the following steps will be undertaken:</w:t>
      </w:r>
    </w:p>
    <w:p w:rsidR="00CF1004" w:rsidRDefault="00CF1004" w:rsidP="00CF1004">
      <w:pPr>
        <w:pStyle w:val="NoSpacing"/>
        <w:numPr>
          <w:ilvl w:val="0"/>
          <w:numId w:val="7"/>
        </w:numPr>
        <w:ind w:right="-540"/>
        <w:rPr>
          <w:rFonts w:cs="Times New Roman"/>
        </w:rPr>
      </w:pPr>
      <w:r w:rsidRPr="00B51067">
        <w:t xml:space="preserve">At multiple time points from 2012 to 2015, body mass index (BMI) </w:t>
      </w:r>
      <w:r w:rsidR="00E41E5C">
        <w:t xml:space="preserve">is being </w:t>
      </w:r>
      <w:r w:rsidRPr="00B51067">
        <w:t>measured for all 3</w:t>
      </w:r>
      <w:r w:rsidRPr="00B51067">
        <w:rPr>
          <w:vertAlign w:val="superscript"/>
        </w:rPr>
        <w:t>rd</w:t>
      </w:r>
      <w:r w:rsidRPr="00B51067">
        <w:t>, 4</w:t>
      </w:r>
      <w:r w:rsidRPr="00B51067">
        <w:rPr>
          <w:vertAlign w:val="superscript"/>
        </w:rPr>
        <w:t>th</w:t>
      </w:r>
      <w:r w:rsidRPr="00B51067">
        <w:t>, 5</w:t>
      </w:r>
      <w:r w:rsidRPr="00B51067">
        <w:rPr>
          <w:vertAlign w:val="superscript"/>
        </w:rPr>
        <w:t>th</w:t>
      </w:r>
      <w:r w:rsidRPr="00B51067">
        <w:t>, and 7</w:t>
      </w:r>
      <w:r w:rsidRPr="00B51067">
        <w:rPr>
          <w:vertAlign w:val="superscript"/>
        </w:rPr>
        <w:t>th</w:t>
      </w:r>
      <w:r w:rsidRPr="00B51067">
        <w:t xml:space="preserve"> grade students from all schools in Greenville</w:t>
      </w:r>
      <w:r w:rsidR="00E41E5C">
        <w:t xml:space="preserve"> County</w:t>
      </w:r>
      <w:r w:rsidRPr="00B51067">
        <w:t>.</w:t>
      </w:r>
    </w:p>
    <w:p w:rsidR="00CF1004" w:rsidRPr="00CF1004" w:rsidRDefault="0043246D" w:rsidP="00CF1004">
      <w:pPr>
        <w:pStyle w:val="NoSpacing"/>
        <w:numPr>
          <w:ilvl w:val="0"/>
          <w:numId w:val="7"/>
        </w:numPr>
        <w:ind w:right="-540"/>
        <w:rPr>
          <w:rFonts w:cs="Times New Roman"/>
        </w:rPr>
      </w:pPr>
      <w:r w:rsidRPr="00B51067">
        <w:t xml:space="preserve">Upon approval and receipt of these data from the </w:t>
      </w:r>
      <w:r w:rsidR="00E41E5C">
        <w:t>s</w:t>
      </w:r>
      <w:r w:rsidRPr="00B51067">
        <w:t xml:space="preserve">chool </w:t>
      </w:r>
      <w:r w:rsidR="00E41E5C">
        <w:t>d</w:t>
      </w:r>
      <w:r w:rsidRPr="00B51067">
        <w:t>istrict, we will use de-identified geocoded home location information and geographic information systems (GIS) technology to calculate distances from each child’s school and home to their nearest park and all parks within 1 mile.</w:t>
      </w:r>
    </w:p>
    <w:p w:rsidR="00CF1004" w:rsidRPr="00CF1004" w:rsidRDefault="009627A7" w:rsidP="00CF1004">
      <w:pPr>
        <w:pStyle w:val="NoSpacing"/>
        <w:numPr>
          <w:ilvl w:val="0"/>
          <w:numId w:val="7"/>
        </w:numPr>
        <w:ind w:right="-540"/>
        <w:rPr>
          <w:rFonts w:cs="Times New Roman"/>
        </w:rPr>
      </w:pPr>
      <w:r>
        <w:t>D</w:t>
      </w:r>
      <w:r w:rsidR="0043246D" w:rsidRPr="00B51067">
        <w:t>ata collected via the aforementioned park audits</w:t>
      </w:r>
      <w:r>
        <w:t xml:space="preserve"> will be used</w:t>
      </w:r>
      <w:r w:rsidR="0043246D" w:rsidRPr="00B51067">
        <w:t xml:space="preserve"> to characterize the features and quality of the park environment near each child’s home and school location.</w:t>
      </w:r>
    </w:p>
    <w:p w:rsidR="00CF1004" w:rsidRPr="00CF1004" w:rsidRDefault="0043246D" w:rsidP="00CF1004">
      <w:pPr>
        <w:pStyle w:val="NoSpacing"/>
        <w:numPr>
          <w:ilvl w:val="0"/>
          <w:numId w:val="7"/>
        </w:numPr>
        <w:ind w:right="-540"/>
        <w:rPr>
          <w:rFonts w:cs="Times New Roman"/>
        </w:rPr>
      </w:pPr>
      <w:r w:rsidRPr="00B51067">
        <w:t>Th</w:t>
      </w:r>
      <w:r w:rsidR="00CF1004">
        <w:t xml:space="preserve">ese park data </w:t>
      </w:r>
      <w:r w:rsidRPr="00B51067">
        <w:t xml:space="preserve">will be combined with detailed Greenville </w:t>
      </w:r>
      <w:r w:rsidR="00871EDD">
        <w:t xml:space="preserve">County </w:t>
      </w:r>
      <w:r w:rsidRPr="00B51067">
        <w:t xml:space="preserve">food outlet data being </w:t>
      </w:r>
      <w:r w:rsidR="00E41E5C">
        <w:t xml:space="preserve">collected </w:t>
      </w:r>
      <w:r w:rsidRPr="00B51067">
        <w:t xml:space="preserve">in another study to provide a comprehensive picture of two key environments – one related to physical activity and one related to nutrition. </w:t>
      </w:r>
    </w:p>
    <w:p w:rsidR="0043246D" w:rsidRPr="00CF1004" w:rsidRDefault="00CF1004" w:rsidP="00CF1004">
      <w:pPr>
        <w:pStyle w:val="NoSpacing"/>
        <w:numPr>
          <w:ilvl w:val="0"/>
          <w:numId w:val="7"/>
        </w:numPr>
        <w:ind w:right="-540"/>
        <w:rPr>
          <w:rFonts w:cs="Times New Roman"/>
        </w:rPr>
      </w:pPr>
      <w:r>
        <w:t>We will conduct a</w:t>
      </w:r>
      <w:r w:rsidR="0043246D" w:rsidRPr="00B51067">
        <w:t xml:space="preserve"> variety of </w:t>
      </w:r>
      <w:r w:rsidR="003214BB">
        <w:t>spatial</w:t>
      </w:r>
      <w:r w:rsidR="0043246D" w:rsidRPr="00B51067">
        <w:t xml:space="preserve"> and statistical analyses to document how the availability, features, and quality of local parks and food environments are impacting the obesity and health of Greenville</w:t>
      </w:r>
      <w:r w:rsidR="003214BB">
        <w:t xml:space="preserve"> </w:t>
      </w:r>
      <w:r w:rsidR="00871EDD">
        <w:t>County</w:t>
      </w:r>
      <w:r w:rsidR="00871EDD" w:rsidRPr="00B51067">
        <w:t xml:space="preserve"> </w:t>
      </w:r>
      <w:r w:rsidR="0043246D" w:rsidRPr="00B51067">
        <w:t>youth.</w:t>
      </w:r>
      <w:r w:rsidR="0043246D" w:rsidRPr="00CF1004">
        <w:rPr>
          <w:vertAlign w:val="superscript"/>
        </w:rPr>
        <w:t xml:space="preserve"> </w:t>
      </w:r>
    </w:p>
    <w:p w:rsidR="00834A13" w:rsidRDefault="00834A13" w:rsidP="00692500">
      <w:pPr>
        <w:spacing w:after="120" w:line="240" w:lineRule="auto"/>
        <w:rPr>
          <w:b/>
        </w:rPr>
      </w:pPr>
    </w:p>
    <w:p w:rsidR="007516CB" w:rsidRDefault="007516CB" w:rsidP="00692500">
      <w:pPr>
        <w:spacing w:after="120" w:line="240" w:lineRule="auto"/>
        <w:rPr>
          <w:b/>
        </w:rPr>
      </w:pPr>
      <w:r w:rsidRPr="00692500">
        <w:rPr>
          <w:b/>
        </w:rPr>
        <w:t xml:space="preserve">Study </w:t>
      </w:r>
      <w:r w:rsidR="00CF1004">
        <w:rPr>
          <w:b/>
        </w:rPr>
        <w:t>Timeline</w:t>
      </w:r>
    </w:p>
    <w:p w:rsidR="00CF1004" w:rsidRDefault="00CF1004" w:rsidP="00692500">
      <w:pPr>
        <w:spacing w:after="120" w:line="240" w:lineRule="auto"/>
      </w:pPr>
      <w:r w:rsidRPr="00E41E5C">
        <w:t>The following chart displays the approximate timeline for the study activities</w:t>
      </w:r>
      <w:r w:rsidR="00E41E5C" w:rsidRPr="00E41E5C">
        <w:t>.</w:t>
      </w:r>
    </w:p>
    <w:p w:rsidR="00E41E5C" w:rsidRPr="00E41E5C" w:rsidRDefault="00E41E5C" w:rsidP="00E41E5C">
      <w:pPr>
        <w:pStyle w:val="NoSpacing"/>
        <w:rPr>
          <w:sz w:val="8"/>
          <w:szCs w:val="8"/>
        </w:rPr>
      </w:pP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3427"/>
        <w:gridCol w:w="618"/>
        <w:gridCol w:w="621"/>
        <w:gridCol w:w="676"/>
        <w:gridCol w:w="601"/>
        <w:gridCol w:w="632"/>
        <w:gridCol w:w="612"/>
        <w:gridCol w:w="601"/>
        <w:gridCol w:w="612"/>
        <w:gridCol w:w="646"/>
        <w:gridCol w:w="608"/>
        <w:gridCol w:w="672"/>
        <w:gridCol w:w="690"/>
      </w:tblGrid>
      <w:tr w:rsidR="007516CB" w:rsidRPr="00243C90" w:rsidTr="00CF1004">
        <w:trPr>
          <w:trHeight w:val="86"/>
        </w:trPr>
        <w:tc>
          <w:tcPr>
            <w:tcW w:w="1555" w:type="pct"/>
            <w:shd w:val="clear" w:color="auto" w:fill="auto"/>
          </w:tcPr>
          <w:p w:rsidR="007516CB" w:rsidRPr="00837B0E" w:rsidRDefault="00CF1004" w:rsidP="005118B5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Study Activities (2013-2014)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July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Aug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Sept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Oct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Nov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Dec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Jan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Feb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Mar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Apr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516CB" w:rsidRPr="00837B0E" w:rsidRDefault="007516CB" w:rsidP="005118B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/>
                <w:b/>
                <w:sz w:val="20"/>
                <w:szCs w:val="20"/>
              </w:rPr>
              <w:t>May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516CB" w:rsidRPr="00837B0E" w:rsidRDefault="007516CB" w:rsidP="005118B5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7B0E">
              <w:rPr>
                <w:rFonts w:asciiTheme="minorHAnsi" w:hAnsiTheme="minorHAnsi" w:cstheme="minorHAnsi"/>
                <w:b/>
                <w:sz w:val="20"/>
                <w:szCs w:val="20"/>
              </w:rPr>
              <w:t>June</w:t>
            </w:r>
          </w:p>
        </w:tc>
      </w:tr>
      <w:tr w:rsidR="007516CB" w:rsidRPr="0096496D" w:rsidTr="002F5FF0">
        <w:trPr>
          <w:trHeight w:val="557"/>
        </w:trPr>
        <w:tc>
          <w:tcPr>
            <w:tcW w:w="1555" w:type="pct"/>
            <w:shd w:val="clear" w:color="auto" w:fill="auto"/>
          </w:tcPr>
          <w:p w:rsidR="007516CB" w:rsidRPr="00E41E5C" w:rsidRDefault="00E41E5C" w:rsidP="002F5FF0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1E5C">
              <w:rPr>
                <w:rFonts w:asciiTheme="minorHAnsi" w:hAnsiTheme="minorHAnsi" w:cstheme="minorHAnsi"/>
                <w:sz w:val="18"/>
                <w:szCs w:val="18"/>
              </w:rPr>
              <w:t>GIS m</w:t>
            </w:r>
            <w:r w:rsidR="00CF1004"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apping of Greenville </w:t>
            </w:r>
            <w:r w:rsidR="002F5FF0">
              <w:rPr>
                <w:rFonts w:asciiTheme="minorHAnsi" w:hAnsiTheme="minorHAnsi" w:cstheme="minorHAnsi"/>
                <w:sz w:val="18"/>
                <w:szCs w:val="18"/>
              </w:rPr>
              <w:t>County</w:t>
            </w:r>
            <w:r w:rsidR="00CF1004"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 parks</w:t>
            </w:r>
          </w:p>
        </w:tc>
        <w:tc>
          <w:tcPr>
            <w:tcW w:w="280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307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16CB" w:rsidRPr="0096496D" w:rsidTr="009365E4">
        <w:trPr>
          <w:trHeight w:val="288"/>
        </w:trPr>
        <w:tc>
          <w:tcPr>
            <w:tcW w:w="1555" w:type="pct"/>
            <w:shd w:val="clear" w:color="auto" w:fill="auto"/>
          </w:tcPr>
          <w:p w:rsidR="007516CB" w:rsidRPr="00E41E5C" w:rsidRDefault="00E41E5C" w:rsidP="002F5FF0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1E5C">
              <w:rPr>
                <w:rFonts w:asciiTheme="minorHAnsi" w:hAnsiTheme="minorHAnsi" w:cstheme="minorHAnsi"/>
                <w:sz w:val="18"/>
                <w:szCs w:val="18"/>
              </w:rPr>
              <w:t>Environmental a</w:t>
            </w:r>
            <w:r w:rsidR="00CF1004"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udits of Greenville </w:t>
            </w:r>
            <w:r w:rsidR="002F5FF0">
              <w:rPr>
                <w:rFonts w:asciiTheme="minorHAnsi" w:hAnsiTheme="minorHAnsi" w:cstheme="minorHAnsi"/>
                <w:sz w:val="18"/>
                <w:szCs w:val="18"/>
              </w:rPr>
              <w:t>County</w:t>
            </w:r>
            <w:r w:rsidR="00CF1004"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 parks</w:t>
            </w:r>
            <w:r w:rsidR="001E245F"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6A6A6" w:themeFill="background1" w:themeFillShade="A6"/>
          </w:tcPr>
          <w:p w:rsidR="007516CB" w:rsidRPr="009365E4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87" w:type="pct"/>
            <w:shd w:val="clear" w:color="auto" w:fill="A6A6A6" w:themeFill="background1" w:themeFillShade="A6"/>
          </w:tcPr>
          <w:p w:rsidR="007516CB" w:rsidRPr="009365E4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78" w:type="pct"/>
            <w:shd w:val="clear" w:color="auto" w:fill="A6A6A6" w:themeFill="background1" w:themeFillShade="A6"/>
          </w:tcPr>
          <w:p w:rsidR="007516CB" w:rsidRPr="009365E4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16CB" w:rsidRPr="0096496D" w:rsidTr="00724E75">
        <w:trPr>
          <w:trHeight w:val="288"/>
        </w:trPr>
        <w:tc>
          <w:tcPr>
            <w:tcW w:w="1555" w:type="pct"/>
            <w:shd w:val="clear" w:color="auto" w:fill="auto"/>
          </w:tcPr>
          <w:p w:rsidR="007516CB" w:rsidRPr="00E41E5C" w:rsidRDefault="00CF1004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Compilation of park and food environment </w:t>
            </w:r>
            <w:r w:rsidR="00E41E5C"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and youth BMI </w:t>
            </w:r>
            <w:r w:rsidRPr="00E41E5C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80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6A6A6" w:themeFill="background1" w:themeFillShade="A6"/>
          </w:tcPr>
          <w:p w:rsidR="007516CB" w:rsidRPr="009365E4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93" w:type="pct"/>
            <w:shd w:val="clear" w:color="auto" w:fill="A6A6A6" w:themeFill="background1" w:themeFillShade="A6"/>
          </w:tcPr>
          <w:p w:rsidR="007516CB" w:rsidRPr="009365E4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76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16CB" w:rsidRPr="0096496D" w:rsidTr="00724E75">
        <w:trPr>
          <w:trHeight w:val="288"/>
        </w:trPr>
        <w:tc>
          <w:tcPr>
            <w:tcW w:w="1555" w:type="pct"/>
            <w:shd w:val="clear" w:color="auto" w:fill="auto"/>
          </w:tcPr>
          <w:p w:rsidR="007516CB" w:rsidRPr="00E41E5C" w:rsidRDefault="00E41E5C" w:rsidP="002F5FF0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1E5C">
              <w:rPr>
                <w:rFonts w:asciiTheme="minorHAnsi" w:hAnsiTheme="minorHAnsi" w:cstheme="minorHAnsi"/>
                <w:sz w:val="18"/>
                <w:szCs w:val="18"/>
              </w:rPr>
              <w:t xml:space="preserve">Analysis of park equity across Greenville </w:t>
            </w:r>
            <w:r w:rsidR="002F5FF0">
              <w:rPr>
                <w:rFonts w:asciiTheme="minorHAnsi" w:hAnsiTheme="minorHAnsi" w:cstheme="minorHAnsi"/>
                <w:sz w:val="18"/>
                <w:szCs w:val="18"/>
              </w:rPr>
              <w:t>County</w:t>
            </w:r>
          </w:p>
        </w:tc>
        <w:tc>
          <w:tcPr>
            <w:tcW w:w="280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243C90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516CB" w:rsidRPr="00243C90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16CB" w:rsidRPr="0096496D" w:rsidTr="00724E75">
        <w:trPr>
          <w:trHeight w:val="288"/>
        </w:trPr>
        <w:tc>
          <w:tcPr>
            <w:tcW w:w="1555" w:type="pct"/>
            <w:shd w:val="clear" w:color="auto" w:fill="auto"/>
          </w:tcPr>
          <w:p w:rsidR="007516CB" w:rsidRPr="00E41E5C" w:rsidRDefault="00E41E5C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1E5C">
              <w:rPr>
                <w:rFonts w:asciiTheme="minorHAnsi" w:hAnsiTheme="minorHAnsi" w:cstheme="minorHAnsi"/>
                <w:sz w:val="18"/>
                <w:szCs w:val="18"/>
              </w:rPr>
              <w:t>Analysis of relationships b/w park and food environments and BMI</w:t>
            </w:r>
          </w:p>
        </w:tc>
        <w:tc>
          <w:tcPr>
            <w:tcW w:w="280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6A6A6" w:themeFill="background1" w:themeFillShade="A6"/>
          </w:tcPr>
          <w:p w:rsidR="007516CB" w:rsidRPr="00243C90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16CB" w:rsidRPr="0096496D" w:rsidTr="003214BB">
        <w:trPr>
          <w:trHeight w:val="288"/>
        </w:trPr>
        <w:tc>
          <w:tcPr>
            <w:tcW w:w="1555" w:type="pct"/>
            <w:shd w:val="clear" w:color="auto" w:fill="auto"/>
          </w:tcPr>
          <w:p w:rsidR="007516CB" w:rsidRPr="00E41E5C" w:rsidRDefault="00E41E5C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1E5C">
              <w:rPr>
                <w:rFonts w:asciiTheme="minorHAnsi" w:hAnsiTheme="minorHAnsi" w:cstheme="minorHAnsi"/>
                <w:sz w:val="18"/>
                <w:szCs w:val="18"/>
              </w:rPr>
              <w:t>Preparation of draft reports and funding applications</w:t>
            </w:r>
          </w:p>
        </w:tc>
        <w:tc>
          <w:tcPr>
            <w:tcW w:w="280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6A6A6" w:themeFill="background1" w:themeFillShade="A6"/>
          </w:tcPr>
          <w:p w:rsidR="007516CB" w:rsidRPr="00E41E5C" w:rsidRDefault="007516CB" w:rsidP="00E41E5C">
            <w:pPr>
              <w:pStyle w:val="NoSpacing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516CB" w:rsidRPr="0032449D" w:rsidRDefault="007516CB" w:rsidP="005118B5">
      <w:pPr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516CB" w:rsidRPr="004A4E68" w:rsidRDefault="00CF1004" w:rsidP="004A4E68">
      <w:pPr>
        <w:spacing w:after="120" w:line="240" w:lineRule="auto"/>
        <w:rPr>
          <w:b/>
        </w:rPr>
      </w:pPr>
      <w:r>
        <w:rPr>
          <w:b/>
        </w:rPr>
        <w:t>Study Funding Source</w:t>
      </w:r>
    </w:p>
    <w:p w:rsidR="00367612" w:rsidRDefault="00CF1004" w:rsidP="005118B5">
      <w:pPr>
        <w:spacing w:after="120" w:line="240" w:lineRule="auto"/>
      </w:pPr>
      <w:r>
        <w:t>Piedmont Health Foundation</w:t>
      </w:r>
    </w:p>
    <w:p w:rsidR="00243C90" w:rsidRPr="00367612" w:rsidRDefault="00834A13" w:rsidP="005118B5">
      <w:pPr>
        <w:spacing w:after="120" w:line="240" w:lineRule="auto"/>
      </w:pPr>
      <w:r>
        <w:t xml:space="preserve">University of South Carolina Office of the </w:t>
      </w:r>
      <w:r w:rsidR="004231DE">
        <w:t>Provost</w:t>
      </w:r>
    </w:p>
    <w:sectPr w:rsidR="00243C90" w:rsidRPr="00367612" w:rsidSect="00383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2DA"/>
    <w:multiLevelType w:val="hybridMultilevel"/>
    <w:tmpl w:val="375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1323"/>
    <w:multiLevelType w:val="hybridMultilevel"/>
    <w:tmpl w:val="A27E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5C06"/>
    <w:multiLevelType w:val="hybridMultilevel"/>
    <w:tmpl w:val="4A88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7665"/>
    <w:multiLevelType w:val="hybridMultilevel"/>
    <w:tmpl w:val="B2F4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7E57"/>
    <w:multiLevelType w:val="hybridMultilevel"/>
    <w:tmpl w:val="A57AE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60253"/>
    <w:multiLevelType w:val="hybridMultilevel"/>
    <w:tmpl w:val="0510BB00"/>
    <w:lvl w:ilvl="0" w:tplc="ACBE9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C370C"/>
    <w:multiLevelType w:val="hybridMultilevel"/>
    <w:tmpl w:val="7F6A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12"/>
    <w:rsid w:val="00037266"/>
    <w:rsid w:val="0003787F"/>
    <w:rsid w:val="00142916"/>
    <w:rsid w:val="001D4237"/>
    <w:rsid w:val="001D6EF3"/>
    <w:rsid w:val="001E245F"/>
    <w:rsid w:val="00243C90"/>
    <w:rsid w:val="00263C71"/>
    <w:rsid w:val="0026439A"/>
    <w:rsid w:val="002848BC"/>
    <w:rsid w:val="002F5FF0"/>
    <w:rsid w:val="003214BB"/>
    <w:rsid w:val="0032449D"/>
    <w:rsid w:val="00353BCC"/>
    <w:rsid w:val="00367612"/>
    <w:rsid w:val="003830D8"/>
    <w:rsid w:val="003B7370"/>
    <w:rsid w:val="004231DE"/>
    <w:rsid w:val="0043246D"/>
    <w:rsid w:val="004A4E68"/>
    <w:rsid w:val="005118B5"/>
    <w:rsid w:val="005A30B0"/>
    <w:rsid w:val="00692500"/>
    <w:rsid w:val="006A5497"/>
    <w:rsid w:val="006B1F4D"/>
    <w:rsid w:val="006D5623"/>
    <w:rsid w:val="00724E75"/>
    <w:rsid w:val="007516CB"/>
    <w:rsid w:val="00834A13"/>
    <w:rsid w:val="0085208A"/>
    <w:rsid w:val="00871EDD"/>
    <w:rsid w:val="008D6ECB"/>
    <w:rsid w:val="00902C94"/>
    <w:rsid w:val="00913578"/>
    <w:rsid w:val="009365E4"/>
    <w:rsid w:val="009627A7"/>
    <w:rsid w:val="009C4004"/>
    <w:rsid w:val="009F00BD"/>
    <w:rsid w:val="00A3053E"/>
    <w:rsid w:val="00A3658B"/>
    <w:rsid w:val="00A87960"/>
    <w:rsid w:val="00B3192C"/>
    <w:rsid w:val="00B51067"/>
    <w:rsid w:val="00B52838"/>
    <w:rsid w:val="00CB660D"/>
    <w:rsid w:val="00CF1004"/>
    <w:rsid w:val="00D168B4"/>
    <w:rsid w:val="00DD4740"/>
    <w:rsid w:val="00DE1E8C"/>
    <w:rsid w:val="00E21378"/>
    <w:rsid w:val="00E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6CB"/>
    <w:pPr>
      <w:ind w:left="720"/>
      <w:contextualSpacing/>
    </w:pPr>
  </w:style>
  <w:style w:type="table" w:styleId="TableGrid">
    <w:name w:val="Table Grid"/>
    <w:basedOn w:val="TableNormal"/>
    <w:uiPriority w:val="59"/>
    <w:rsid w:val="007516CB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6CB"/>
    <w:pPr>
      <w:ind w:left="720"/>
      <w:contextualSpacing/>
    </w:pPr>
  </w:style>
  <w:style w:type="table" w:styleId="TableGrid">
    <w:name w:val="Table Grid"/>
    <w:basedOn w:val="TableNormal"/>
    <w:uiPriority w:val="59"/>
    <w:rsid w:val="007516CB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sa=i&amp;source=images&amp;cd=&amp;cad=rja&amp;docid=Yw765bocx1zlqM&amp;tbnid=s3iwKsGj11IUoM:&amp;ved=0CAgQjRwwAA&amp;url=http://www2.furman.edu/academics/MilitaryScience/&amp;ei=cYmyUeG6JNez4APeooHwCA&amp;psig=AFQjCNGcvMjYgUWFWeumEfDEOqp-1CRKfA&amp;ust=13707414896434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image001.jpg@01CE5D19.FDC0F5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Besenyi</dc:creator>
  <cp:lastModifiedBy>Morgan Hughey</cp:lastModifiedBy>
  <cp:revision>2</cp:revision>
  <dcterms:created xsi:type="dcterms:W3CDTF">2014-03-28T14:07:00Z</dcterms:created>
  <dcterms:modified xsi:type="dcterms:W3CDTF">2014-03-28T14:07:00Z</dcterms:modified>
</cp:coreProperties>
</file>